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3A" w:rsidRDefault="004C523A">
      <w:pPr>
        <w:rPr>
          <w:rFonts w:ascii="仿宋_GB2312" w:hAnsi="宋体"/>
          <w:b/>
          <w:color w:val="000000"/>
        </w:rPr>
      </w:pPr>
    </w:p>
    <w:p w:rsidR="004C523A" w:rsidRDefault="004C523A">
      <w:pPr>
        <w:rPr>
          <w:rFonts w:ascii="仿宋_GB2312" w:hAnsi="宋体"/>
          <w:b/>
          <w:color w:val="000000"/>
        </w:rPr>
      </w:pPr>
      <w:r>
        <w:rPr>
          <w:noProof/>
        </w:rPr>
        <w:pict>
          <v:group id="组合 2" o:spid="_x0000_s1027" style="position:absolute;left:0;text-align:left;margin-left:-5.95pt;margin-top:12.75pt;width:458pt;height:166.3pt;z-index:251658240" coordorigin="1644,3038" coordsize="8680,2999">
            <v:shapetype id="_x0000_t202" coordsize="21600,21600" o:spt="202" path="m,l,21600r21600,l21600,xe">
              <v:stroke joinstyle="miter"/>
              <v:path gradientshapeok="t" o:connecttype="rect"/>
            </v:shapetype>
            <v:shape id="文本框 3" o:spid="_x0000_s1028" type="#_x0000_t202" style="position:absolute;left:1844;top:3038;width:8201;height:1507" strokecolor="white">
              <v:textbox>
                <w:txbxContent>
                  <w:p w:rsidR="004C523A" w:rsidRDefault="004C523A">
                    <w:pPr>
                      <w:widowControl/>
                      <w:snapToGrid w:val="0"/>
                      <w:spacing w:line="1100" w:lineRule="exact"/>
                      <w:jc w:val="distribute"/>
                      <w:rPr>
                        <w:rFonts w:ascii="宋体" w:cs="宋体"/>
                        <w:bCs/>
                        <w:color w:val="FF0000"/>
                        <w:spacing w:val="-20"/>
                        <w:w w:val="66"/>
                        <w:sz w:val="74"/>
                      </w:rPr>
                    </w:pPr>
                    <w:r>
                      <w:rPr>
                        <w:rFonts w:ascii="宋体" w:hAnsi="宋体" w:cs="宋体" w:hint="eastAsia"/>
                        <w:bCs/>
                        <w:color w:val="FF0000"/>
                        <w:spacing w:val="-20"/>
                        <w:w w:val="66"/>
                        <w:kern w:val="0"/>
                        <w:sz w:val="74"/>
                        <w:szCs w:val="44"/>
                      </w:rPr>
                      <w:t>河南省人民政府教育督导委员会办公室</w:t>
                    </w:r>
                  </w:p>
                </w:txbxContent>
              </v:textbox>
            </v:shape>
            <v:line id="直线 4" o:spid="_x0000_s1029" style="position:absolute" from="1644,6037" to="10324,6037" strokecolor="red"/>
          </v:group>
        </w:pict>
      </w:r>
    </w:p>
    <w:p w:rsidR="004C523A" w:rsidRDefault="004C523A">
      <w:pPr>
        <w:rPr>
          <w:rFonts w:ascii="仿宋_GB2312" w:hAnsi="宋体"/>
          <w:b/>
          <w:color w:val="000000"/>
        </w:rPr>
      </w:pPr>
    </w:p>
    <w:p w:rsidR="004C523A" w:rsidRDefault="004C523A">
      <w:pPr>
        <w:jc w:val="center"/>
        <w:rPr>
          <w:rFonts w:ascii="仿宋_GB2312" w:hAnsi="宋体"/>
          <w:b/>
          <w:color w:val="000000"/>
        </w:rPr>
      </w:pPr>
    </w:p>
    <w:p w:rsidR="004C523A" w:rsidRDefault="004C523A">
      <w:pPr>
        <w:jc w:val="center"/>
        <w:rPr>
          <w:rFonts w:ascii="仿宋_GB2312" w:hAnsi="宋体"/>
          <w:b/>
          <w:color w:val="000000"/>
        </w:rPr>
      </w:pPr>
    </w:p>
    <w:p w:rsidR="004C523A" w:rsidRDefault="004C523A">
      <w:pPr>
        <w:jc w:val="center"/>
        <w:rPr>
          <w:rFonts w:ascii="仿宋_GB2312" w:hAnsi="宋体"/>
          <w:b/>
          <w:color w:val="000000"/>
        </w:rPr>
      </w:pPr>
    </w:p>
    <w:p w:rsidR="004C523A" w:rsidRDefault="004C523A">
      <w:pPr>
        <w:jc w:val="center"/>
        <w:rPr>
          <w:rFonts w:ascii="仿宋_GB2312" w:hAnsi="宋体"/>
          <w:b/>
          <w:color w:val="000000"/>
        </w:rPr>
      </w:pPr>
    </w:p>
    <w:p w:rsidR="004C523A" w:rsidRDefault="004C523A">
      <w:pPr>
        <w:rPr>
          <w:rFonts w:ascii="仿宋_GB2312" w:hAnsi="宋体"/>
          <w:color w:val="000000"/>
        </w:rPr>
      </w:pPr>
    </w:p>
    <w:p w:rsidR="004C523A" w:rsidRDefault="004C523A">
      <w:pPr>
        <w:jc w:val="center"/>
        <w:rPr>
          <w:rFonts w:ascii="仿宋_GB2312" w:hAnsi="宋体"/>
          <w:color w:val="000000"/>
        </w:rPr>
      </w:pPr>
    </w:p>
    <w:p w:rsidR="004C523A" w:rsidRPr="00882F2F" w:rsidRDefault="004C523A">
      <w:pPr>
        <w:jc w:val="center"/>
        <w:rPr>
          <w:rFonts w:ascii="仿宋_GB2312" w:eastAsia="仿宋_GB2312" w:hAnsi="宋体"/>
          <w:color w:val="000000"/>
          <w:sz w:val="32"/>
          <w:szCs w:val="32"/>
        </w:rPr>
      </w:pPr>
      <w:r w:rsidRPr="00882F2F">
        <w:rPr>
          <w:rFonts w:ascii="仿宋_GB2312" w:eastAsia="仿宋_GB2312" w:hAnsi="宋体" w:hint="eastAsia"/>
          <w:color w:val="000000"/>
          <w:sz w:val="32"/>
          <w:szCs w:val="32"/>
        </w:rPr>
        <w:t>豫政教督办〔</w:t>
      </w:r>
      <w:r w:rsidRPr="00882F2F">
        <w:rPr>
          <w:rFonts w:ascii="仿宋_GB2312" w:eastAsia="仿宋_GB2312" w:hAnsi="宋体"/>
          <w:color w:val="000000"/>
          <w:sz w:val="32"/>
          <w:szCs w:val="32"/>
        </w:rPr>
        <w:t>2017</w:t>
      </w:r>
      <w:r w:rsidRPr="00882F2F">
        <w:rPr>
          <w:rFonts w:ascii="仿宋_GB2312" w:eastAsia="仿宋_GB2312" w:hAnsi="宋体" w:hint="eastAsia"/>
          <w:color w:val="000000"/>
          <w:sz w:val="32"/>
          <w:szCs w:val="32"/>
        </w:rPr>
        <w:t>〕</w:t>
      </w:r>
      <w:r w:rsidRPr="00882F2F">
        <w:rPr>
          <w:rFonts w:ascii="仿宋_GB2312" w:eastAsia="仿宋_GB2312" w:hAnsi="宋体"/>
          <w:color w:val="000000"/>
          <w:sz w:val="32"/>
          <w:szCs w:val="32"/>
        </w:rPr>
        <w:t>11</w:t>
      </w:r>
      <w:r w:rsidRPr="00882F2F">
        <w:rPr>
          <w:rFonts w:ascii="仿宋_GB2312" w:eastAsia="仿宋_GB2312" w:hAnsi="宋体" w:hint="eastAsia"/>
          <w:color w:val="000000"/>
          <w:sz w:val="32"/>
          <w:szCs w:val="32"/>
        </w:rPr>
        <w:t>号</w:t>
      </w:r>
    </w:p>
    <w:p w:rsidR="004C523A" w:rsidRDefault="004C523A">
      <w:pPr>
        <w:jc w:val="center"/>
        <w:rPr>
          <w:rFonts w:ascii="仿宋_GB2312" w:hAnsi="宋体"/>
          <w:b/>
          <w:color w:val="000000"/>
        </w:rPr>
      </w:pPr>
    </w:p>
    <w:p w:rsidR="004C523A" w:rsidRDefault="004C523A">
      <w:pPr>
        <w:jc w:val="center"/>
        <w:rPr>
          <w:rFonts w:ascii="仿宋_GB2312" w:hAnsi="宋体"/>
          <w:b/>
          <w:color w:val="000000"/>
        </w:rPr>
      </w:pPr>
    </w:p>
    <w:p w:rsidR="004C523A" w:rsidRDefault="004C523A">
      <w:pPr>
        <w:snapToGrid w:val="0"/>
        <w:jc w:val="center"/>
        <w:rPr>
          <w:rFonts w:ascii="宋体" w:cs="宋体"/>
          <w:color w:val="000000"/>
          <w:sz w:val="44"/>
          <w:szCs w:val="44"/>
        </w:rPr>
      </w:pPr>
    </w:p>
    <w:p w:rsidR="004C523A" w:rsidRDefault="004C523A">
      <w:pPr>
        <w:snapToGrid w:val="0"/>
        <w:jc w:val="center"/>
        <w:rPr>
          <w:rFonts w:ascii="宋体" w:cs="宋体"/>
          <w:color w:val="000000"/>
          <w:sz w:val="44"/>
          <w:szCs w:val="44"/>
        </w:rPr>
      </w:pPr>
      <w:r>
        <w:rPr>
          <w:rFonts w:ascii="宋体" w:hAnsi="宋体" w:cs="宋体" w:hint="eastAsia"/>
          <w:color w:val="000000"/>
          <w:sz w:val="44"/>
          <w:szCs w:val="44"/>
        </w:rPr>
        <w:t>河南省人民政府教育督导委员会办公室</w:t>
      </w:r>
    </w:p>
    <w:p w:rsidR="004C523A" w:rsidRDefault="004C523A">
      <w:pPr>
        <w:snapToGrid w:val="0"/>
        <w:jc w:val="center"/>
        <w:rPr>
          <w:rFonts w:ascii="宋体" w:cs="宋体"/>
          <w:color w:val="000000"/>
          <w:sz w:val="44"/>
          <w:szCs w:val="44"/>
        </w:rPr>
      </w:pPr>
      <w:r>
        <w:rPr>
          <w:rFonts w:ascii="宋体" w:hAnsi="宋体" w:cs="宋体" w:hint="eastAsia"/>
          <w:color w:val="000000"/>
          <w:spacing w:val="-20"/>
          <w:sz w:val="44"/>
          <w:szCs w:val="44"/>
        </w:rPr>
        <w:t>关于转发《中小学（幼儿园）安全工作专项督导</w:t>
      </w:r>
      <w:r>
        <w:rPr>
          <w:rFonts w:ascii="宋体" w:cs="宋体"/>
          <w:color w:val="000000"/>
          <w:spacing w:val="-20"/>
          <w:sz w:val="44"/>
          <w:szCs w:val="44"/>
        </w:rPr>
        <w:br/>
      </w:r>
      <w:r>
        <w:rPr>
          <w:rFonts w:ascii="宋体" w:hAnsi="宋体" w:cs="宋体" w:hint="eastAsia"/>
          <w:color w:val="000000"/>
          <w:sz w:val="44"/>
          <w:szCs w:val="44"/>
        </w:rPr>
        <w:t>暂行办法》的通知</w:t>
      </w:r>
    </w:p>
    <w:p w:rsidR="004C523A" w:rsidRDefault="004C523A" w:rsidP="00882F2F">
      <w:pPr>
        <w:ind w:firstLineChars="200" w:firstLine="31680"/>
        <w:rPr>
          <w:rFonts w:ascii="仿宋_GB2312"/>
          <w:color w:val="000000"/>
        </w:rPr>
      </w:pPr>
    </w:p>
    <w:p w:rsidR="004C523A" w:rsidRDefault="004C523A">
      <w:pPr>
        <w:rPr>
          <w:rFonts w:ascii="仿宋_GB2312" w:eastAsia="仿宋_GB2312"/>
          <w:color w:val="000000"/>
          <w:sz w:val="32"/>
          <w:szCs w:val="32"/>
        </w:rPr>
      </w:pPr>
      <w:r>
        <w:rPr>
          <w:rFonts w:ascii="仿宋_GB2312" w:eastAsia="仿宋_GB2312" w:hint="eastAsia"/>
          <w:color w:val="000000"/>
          <w:sz w:val="32"/>
          <w:szCs w:val="32"/>
        </w:rPr>
        <w:t>各省辖市、省直管县（市）人民政府办公室：</w:t>
      </w:r>
    </w:p>
    <w:p w:rsidR="004C523A" w:rsidRDefault="004C523A" w:rsidP="00882F2F">
      <w:pPr>
        <w:ind w:firstLineChars="200" w:firstLine="31680"/>
        <w:rPr>
          <w:rFonts w:ascii="仿宋_GB2312" w:eastAsia="仿宋_GB2312"/>
          <w:color w:val="000000"/>
          <w:sz w:val="32"/>
          <w:szCs w:val="32"/>
        </w:rPr>
      </w:pPr>
      <w:r>
        <w:rPr>
          <w:rFonts w:ascii="仿宋_GB2312" w:eastAsia="仿宋_GB2312" w:hint="eastAsia"/>
          <w:color w:val="000000"/>
          <w:sz w:val="32"/>
          <w:szCs w:val="32"/>
        </w:rPr>
        <w:t>现将《国务院教育督导委员会办公室关于印发中小学（幼儿园）安全工作专项督导暂行办法的通知</w:t>
      </w:r>
      <w:r>
        <w:rPr>
          <w:rFonts w:ascii="仿宋_GB2312" w:eastAsia="仿宋_GB2312" w:hAnsi="仿宋" w:hint="eastAsia"/>
          <w:color w:val="000000"/>
          <w:sz w:val="32"/>
          <w:szCs w:val="32"/>
        </w:rPr>
        <w:t>》（国教督办</w:t>
      </w:r>
      <w:r>
        <w:rPr>
          <w:rFonts w:ascii="仿宋_GB2312" w:eastAsia="仿宋_GB2312" w:hAnsi="华文宋体" w:hint="eastAsia"/>
          <w:color w:val="000000"/>
          <w:sz w:val="32"/>
          <w:szCs w:val="32"/>
        </w:rPr>
        <w:t>〔</w:t>
      </w:r>
      <w:r>
        <w:rPr>
          <w:rFonts w:ascii="仿宋_GB2312" w:eastAsia="仿宋_GB2312" w:hAnsi="仿宋"/>
          <w:color w:val="000000"/>
          <w:sz w:val="32"/>
          <w:szCs w:val="32"/>
        </w:rPr>
        <w:t>2016</w:t>
      </w:r>
      <w:r>
        <w:rPr>
          <w:rFonts w:ascii="仿宋_GB2312" w:eastAsia="仿宋_GB2312" w:hAnsi="华文宋体" w:hint="eastAsia"/>
          <w:color w:val="000000"/>
          <w:sz w:val="32"/>
          <w:szCs w:val="32"/>
        </w:rPr>
        <w:t>〕</w:t>
      </w:r>
      <w:r>
        <w:rPr>
          <w:rFonts w:ascii="仿宋_GB2312" w:eastAsia="仿宋_GB2312" w:hAnsi="仿宋"/>
          <w:color w:val="000000"/>
          <w:sz w:val="32"/>
          <w:szCs w:val="32"/>
        </w:rPr>
        <w:t>4</w:t>
      </w:r>
      <w:r>
        <w:rPr>
          <w:rFonts w:ascii="仿宋_GB2312" w:eastAsia="仿宋_GB2312" w:hAnsi="仿宋" w:hint="eastAsia"/>
          <w:color w:val="000000"/>
          <w:sz w:val="32"/>
          <w:szCs w:val="32"/>
        </w:rPr>
        <w:t>号）</w:t>
      </w:r>
      <w:r>
        <w:rPr>
          <w:rFonts w:ascii="仿宋_GB2312" w:eastAsia="仿宋_GB2312" w:hint="eastAsia"/>
          <w:color w:val="000000"/>
          <w:sz w:val="32"/>
          <w:szCs w:val="32"/>
        </w:rPr>
        <w:t>转发给你们，请认真贯彻落实。</w:t>
      </w:r>
    </w:p>
    <w:p w:rsidR="004C523A" w:rsidRDefault="004C523A" w:rsidP="00882F2F">
      <w:pPr>
        <w:ind w:firstLineChars="200" w:firstLine="31680"/>
        <w:rPr>
          <w:rFonts w:ascii="仿宋_GB2312"/>
          <w:color w:val="000000"/>
          <w:sz w:val="32"/>
          <w:szCs w:val="32"/>
        </w:rPr>
      </w:pPr>
    </w:p>
    <w:p w:rsidR="004C523A" w:rsidRDefault="004C523A" w:rsidP="00882F2F">
      <w:pPr>
        <w:ind w:firstLineChars="200" w:firstLine="31680"/>
        <w:rPr>
          <w:rFonts w:ascii="仿宋_GB2312"/>
          <w:color w:val="000000"/>
          <w:sz w:val="32"/>
          <w:szCs w:val="32"/>
        </w:rPr>
      </w:pPr>
    </w:p>
    <w:p w:rsidR="004C523A" w:rsidRDefault="004C523A" w:rsidP="00882F2F">
      <w:pPr>
        <w:ind w:firstLineChars="200" w:firstLine="31680"/>
        <w:rPr>
          <w:rFonts w:ascii="仿宋_GB2312"/>
          <w:color w:val="000000"/>
        </w:rPr>
      </w:pPr>
    </w:p>
    <w:p w:rsidR="004C523A" w:rsidRDefault="004C523A" w:rsidP="00882F2F">
      <w:pPr>
        <w:ind w:firstLineChars="1150" w:firstLine="31680"/>
        <w:rPr>
          <w:rFonts w:ascii="仿宋_GB2312" w:eastAsia="仿宋_GB2312"/>
          <w:color w:val="000000"/>
          <w:sz w:val="36"/>
          <w:szCs w:val="36"/>
        </w:rPr>
      </w:pPr>
    </w:p>
    <w:p w:rsidR="004C523A" w:rsidRDefault="004C523A" w:rsidP="00882F2F">
      <w:pPr>
        <w:ind w:firstLineChars="1150" w:firstLine="31680"/>
        <w:rPr>
          <w:rFonts w:ascii="仿宋_GB2312" w:eastAsia="仿宋_GB2312"/>
          <w:color w:val="000000"/>
          <w:sz w:val="36"/>
          <w:szCs w:val="36"/>
        </w:rPr>
      </w:pPr>
    </w:p>
    <w:p w:rsidR="004C523A" w:rsidRDefault="004C523A" w:rsidP="00882F2F">
      <w:pPr>
        <w:ind w:firstLineChars="1450" w:firstLine="31680"/>
        <w:rPr>
          <w:rFonts w:ascii="仿宋_GB2312" w:eastAsia="仿宋_GB2312"/>
          <w:color w:val="000000"/>
          <w:sz w:val="36"/>
          <w:szCs w:val="36"/>
        </w:rPr>
      </w:pPr>
      <w:smartTag w:uri="urn:schemas-microsoft-com:office:smarttags" w:element="chsdate">
        <w:smartTagPr>
          <w:attr w:name="IsROCDate" w:val="False"/>
          <w:attr w:name="IsLunarDate" w:val="False"/>
          <w:attr w:name="Day" w:val="29"/>
          <w:attr w:name="Month" w:val="9"/>
          <w:attr w:name="Year" w:val="2017"/>
        </w:smartTagPr>
        <w:r>
          <w:rPr>
            <w:rFonts w:ascii="仿宋_GB2312" w:eastAsia="仿宋_GB2312"/>
            <w:color w:val="000000"/>
            <w:sz w:val="36"/>
            <w:szCs w:val="36"/>
          </w:rPr>
          <w:t>2017</w:t>
        </w:r>
        <w:r>
          <w:rPr>
            <w:rFonts w:ascii="仿宋_GB2312" w:eastAsia="仿宋_GB2312" w:hint="eastAsia"/>
            <w:color w:val="000000"/>
            <w:sz w:val="36"/>
            <w:szCs w:val="36"/>
          </w:rPr>
          <w:t>年</w:t>
        </w:r>
        <w:r>
          <w:rPr>
            <w:rFonts w:ascii="仿宋_GB2312" w:eastAsia="仿宋_GB2312"/>
            <w:color w:val="000000"/>
            <w:sz w:val="36"/>
            <w:szCs w:val="36"/>
          </w:rPr>
          <w:t>9</w:t>
        </w:r>
        <w:r>
          <w:rPr>
            <w:rFonts w:ascii="仿宋_GB2312" w:eastAsia="仿宋_GB2312" w:hint="eastAsia"/>
            <w:color w:val="000000"/>
            <w:sz w:val="36"/>
            <w:szCs w:val="36"/>
          </w:rPr>
          <w:t>月</w:t>
        </w:r>
        <w:r>
          <w:rPr>
            <w:rFonts w:ascii="仿宋_GB2312" w:eastAsia="仿宋_GB2312"/>
            <w:color w:val="000000"/>
            <w:sz w:val="36"/>
            <w:szCs w:val="36"/>
          </w:rPr>
          <w:t>29</w:t>
        </w:r>
        <w:r>
          <w:rPr>
            <w:rFonts w:ascii="仿宋_GB2312" w:eastAsia="仿宋_GB2312" w:hint="eastAsia"/>
            <w:color w:val="000000"/>
            <w:sz w:val="36"/>
            <w:szCs w:val="36"/>
          </w:rPr>
          <w:t>日</w:t>
        </w:r>
      </w:smartTag>
    </w:p>
    <w:p w:rsidR="004C523A" w:rsidRDefault="004C523A">
      <w:pPr>
        <w:rPr>
          <w:rFonts w:ascii="仿宋_GB2312"/>
          <w:color w:val="000000"/>
        </w:rPr>
      </w:pPr>
    </w:p>
    <w:p w:rsidR="004C523A" w:rsidRDefault="004C523A">
      <w:pPr>
        <w:pStyle w:val="Heading1"/>
        <w:widowControl/>
        <w:snapToGrid w:val="0"/>
        <w:spacing w:before="0" w:beforeAutospacing="0" w:after="0" w:afterAutospacing="0"/>
        <w:jc w:val="center"/>
        <w:rPr>
          <w:rFonts w:ascii="方正小标宋简体" w:eastAsia="方正小标宋简体" w:hAnsi="微软雅黑" w:cs="微软雅黑"/>
          <w:b w:val="0"/>
          <w:color w:val="000000"/>
          <w:sz w:val="30"/>
          <w:szCs w:val="30"/>
        </w:rPr>
      </w:pPr>
    </w:p>
    <w:p w:rsidR="004C523A" w:rsidRDefault="004C523A">
      <w:pPr>
        <w:pStyle w:val="Heading1"/>
        <w:widowControl/>
        <w:snapToGrid w:val="0"/>
        <w:spacing w:before="0" w:beforeAutospacing="0" w:after="0" w:afterAutospacing="0"/>
        <w:jc w:val="center"/>
        <w:rPr>
          <w:rFonts w:ascii="方正小标宋简体" w:eastAsia="方正小标宋简体" w:hAnsi="微软雅黑" w:cs="微软雅黑"/>
          <w:b w:val="0"/>
          <w:color w:val="000000"/>
          <w:sz w:val="44"/>
          <w:szCs w:val="44"/>
        </w:rPr>
      </w:pPr>
    </w:p>
    <w:p w:rsidR="004C523A" w:rsidRDefault="004C523A">
      <w:pPr>
        <w:pStyle w:val="Heading1"/>
        <w:widowControl/>
        <w:snapToGrid w:val="0"/>
        <w:spacing w:before="0" w:beforeAutospacing="0" w:after="0" w:afterAutospacing="0"/>
        <w:jc w:val="center"/>
        <w:rPr>
          <w:rFonts w:cs="宋体"/>
          <w:b w:val="0"/>
          <w:color w:val="000000"/>
          <w:sz w:val="44"/>
          <w:szCs w:val="44"/>
        </w:rPr>
      </w:pPr>
      <w:r>
        <w:rPr>
          <w:rFonts w:cs="宋体" w:hint="eastAsia"/>
          <w:b w:val="0"/>
          <w:color w:val="000000"/>
          <w:sz w:val="44"/>
          <w:szCs w:val="44"/>
        </w:rPr>
        <w:t>国务院教育督导委员会办公室关于印发</w:t>
      </w:r>
      <w:r>
        <w:rPr>
          <w:rFonts w:cs="宋体"/>
          <w:b w:val="0"/>
          <w:color w:val="000000"/>
          <w:sz w:val="44"/>
          <w:szCs w:val="44"/>
        </w:rPr>
        <w:br/>
      </w:r>
      <w:r>
        <w:rPr>
          <w:rFonts w:cs="宋体" w:hint="eastAsia"/>
          <w:b w:val="0"/>
          <w:color w:val="000000"/>
          <w:sz w:val="44"/>
          <w:szCs w:val="44"/>
        </w:rPr>
        <w:t>《中小学（幼儿园）安全工作专项督导</w:t>
      </w:r>
      <w:r>
        <w:rPr>
          <w:rFonts w:cs="宋体"/>
          <w:b w:val="0"/>
          <w:color w:val="000000"/>
          <w:sz w:val="44"/>
          <w:szCs w:val="44"/>
        </w:rPr>
        <w:br/>
      </w:r>
      <w:r>
        <w:rPr>
          <w:rFonts w:cs="宋体" w:hint="eastAsia"/>
          <w:b w:val="0"/>
          <w:color w:val="000000"/>
          <w:sz w:val="44"/>
          <w:szCs w:val="44"/>
        </w:rPr>
        <w:t>暂行办法》的通知</w:t>
      </w:r>
    </w:p>
    <w:p w:rsidR="004C523A" w:rsidRDefault="004C523A">
      <w:pPr>
        <w:pStyle w:val="NormalWeb"/>
        <w:widowControl/>
        <w:spacing w:before="0" w:beforeAutospacing="0" w:after="0" w:afterAutospacing="0"/>
        <w:jc w:val="right"/>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国教督办〔</w:t>
      </w:r>
      <w:r>
        <w:rPr>
          <w:rFonts w:ascii="仿宋_GB2312" w:eastAsia="仿宋_GB2312" w:hAnsi="微软雅黑" w:cs="微软雅黑"/>
          <w:color w:val="000000"/>
          <w:sz w:val="30"/>
          <w:szCs w:val="30"/>
        </w:rPr>
        <w:t>2016</w:t>
      </w:r>
      <w:r>
        <w:rPr>
          <w:rFonts w:ascii="仿宋_GB2312" w:eastAsia="仿宋_GB2312" w:hAnsi="微软雅黑" w:cs="微软雅黑" w:hint="eastAsia"/>
          <w:color w:val="000000"/>
          <w:sz w:val="30"/>
          <w:szCs w:val="30"/>
        </w:rPr>
        <w:t>〕</w:t>
      </w:r>
      <w:r>
        <w:rPr>
          <w:rFonts w:ascii="仿宋_GB2312" w:eastAsia="仿宋_GB2312" w:hAnsi="微软雅黑" w:cs="微软雅黑"/>
          <w:color w:val="000000"/>
          <w:sz w:val="30"/>
          <w:szCs w:val="30"/>
        </w:rPr>
        <w:t>4</w:t>
      </w:r>
      <w:r>
        <w:rPr>
          <w:rFonts w:ascii="仿宋_GB2312" w:eastAsia="仿宋_GB2312" w:hAnsi="微软雅黑" w:cs="微软雅黑" w:hint="eastAsia"/>
          <w:color w:val="000000"/>
          <w:sz w:val="30"/>
          <w:szCs w:val="30"/>
        </w:rPr>
        <w:t>号</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各省、自治区、直辖市人民政府办公厅：</w:t>
      </w:r>
    </w:p>
    <w:p w:rsidR="004C523A" w:rsidRDefault="004C523A" w:rsidP="00882F2F">
      <w:pPr>
        <w:pStyle w:val="NormalWeb"/>
        <w:widowControl/>
        <w:spacing w:before="0" w:beforeAutospacing="0" w:after="0" w:afterAutospacing="0"/>
        <w:ind w:firstLine="60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为落实党中央、国务院关于保障学校安全的总体要求，推动建立科学化、规范化、制度化的中小学（幼儿园）安全保障体系和运行机制，提高安全风险防控能力，特制定《中小学（幼儿园）安全工作专项督导暂行办法》。现印发给你们，请结合实际认真贯彻执行。</w:t>
      </w:r>
    </w:p>
    <w:p w:rsidR="004C523A" w:rsidRDefault="004C523A" w:rsidP="00882F2F">
      <w:pPr>
        <w:pStyle w:val="NormalWeb"/>
        <w:widowControl/>
        <w:spacing w:before="0" w:beforeAutospacing="0" w:after="0" w:afterAutospacing="0"/>
        <w:ind w:firstLine="600"/>
        <w:rPr>
          <w:rFonts w:ascii="仿宋_GB2312" w:eastAsia="仿宋_GB2312" w:hAnsi="微软雅黑" w:cs="微软雅黑"/>
          <w:color w:val="000000"/>
          <w:sz w:val="30"/>
          <w:szCs w:val="30"/>
        </w:rPr>
      </w:pPr>
    </w:p>
    <w:p w:rsidR="004C523A" w:rsidRDefault="004C523A" w:rsidP="00882F2F">
      <w:pPr>
        <w:pStyle w:val="NormalWeb"/>
        <w:widowControl/>
        <w:spacing w:before="0" w:beforeAutospacing="0" w:after="0" w:afterAutospacing="0"/>
        <w:ind w:firstLine="600"/>
        <w:rPr>
          <w:rFonts w:ascii="仿宋_GB2312" w:eastAsia="仿宋_GB2312" w:hAnsi="微软雅黑" w:cs="微软雅黑"/>
          <w:color w:val="000000"/>
          <w:sz w:val="30"/>
          <w:szCs w:val="30"/>
        </w:rPr>
      </w:pPr>
    </w:p>
    <w:p w:rsidR="004C523A" w:rsidRDefault="004C523A" w:rsidP="00882F2F">
      <w:pPr>
        <w:pStyle w:val="NormalWeb"/>
        <w:widowControl/>
        <w:spacing w:before="0" w:beforeAutospacing="0" w:after="0" w:afterAutospacing="0"/>
        <w:ind w:firstLine="600"/>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jc w:val="right"/>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国务院教育督导委员会办公室</w:t>
      </w:r>
    </w:p>
    <w:p w:rsidR="004C523A" w:rsidRDefault="004C523A">
      <w:pPr>
        <w:pStyle w:val="NormalWeb"/>
        <w:widowControl/>
        <w:spacing w:before="0" w:beforeAutospacing="0" w:after="0" w:afterAutospacing="0"/>
        <w:jc w:val="right"/>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w:t>
      </w:r>
      <w:r>
        <w:rPr>
          <w:rFonts w:ascii="仿宋_GB2312" w:eastAsia="仿宋_GB2312" w:hAnsi="微软雅黑" w:cs="微软雅黑"/>
          <w:color w:val="000000"/>
          <w:sz w:val="30"/>
          <w:szCs w:val="30"/>
        </w:rPr>
        <w:t>2016</w:t>
      </w:r>
      <w:r>
        <w:rPr>
          <w:rFonts w:ascii="仿宋_GB2312" w:eastAsia="仿宋_GB2312" w:hAnsi="微软雅黑" w:cs="微软雅黑" w:hint="eastAsia"/>
          <w:color w:val="000000"/>
          <w:sz w:val="30"/>
          <w:szCs w:val="30"/>
        </w:rPr>
        <w:t>年</w:t>
      </w:r>
      <w:r>
        <w:rPr>
          <w:rFonts w:ascii="仿宋_GB2312" w:eastAsia="仿宋_GB2312" w:hAnsi="微软雅黑" w:cs="微软雅黑"/>
          <w:color w:val="000000"/>
          <w:sz w:val="30"/>
          <w:szCs w:val="30"/>
        </w:rPr>
        <w:t>11</w:t>
      </w:r>
      <w:r>
        <w:rPr>
          <w:rFonts w:ascii="仿宋_GB2312" w:eastAsia="仿宋_GB2312" w:hAnsi="微软雅黑" w:cs="微软雅黑" w:hint="eastAsia"/>
          <w:color w:val="000000"/>
          <w:sz w:val="30"/>
          <w:szCs w:val="30"/>
        </w:rPr>
        <w:t>月</w:t>
      </w:r>
      <w:r>
        <w:rPr>
          <w:rFonts w:ascii="仿宋_GB2312" w:eastAsia="仿宋_GB2312" w:hAnsi="微软雅黑" w:cs="微软雅黑"/>
          <w:color w:val="000000"/>
          <w:sz w:val="30"/>
          <w:szCs w:val="30"/>
        </w:rPr>
        <w:t>30</w:t>
      </w:r>
      <w:r>
        <w:rPr>
          <w:rFonts w:ascii="仿宋_GB2312" w:eastAsia="仿宋_GB2312" w:hAnsi="微软雅黑" w:cs="微软雅黑" w:hint="eastAsia"/>
          <w:color w:val="000000"/>
          <w:sz w:val="30"/>
          <w:szCs w:val="30"/>
        </w:rPr>
        <w:t>日</w:t>
      </w: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w:t>
      </w:r>
    </w:p>
    <w:p w:rsidR="004C523A" w:rsidRDefault="004C523A">
      <w:pPr>
        <w:pStyle w:val="NormalWeb"/>
        <w:widowControl/>
        <w:spacing w:before="0" w:beforeAutospacing="0" w:after="0" w:afterAutospacing="0"/>
        <w:jc w:val="center"/>
        <w:rPr>
          <w:rFonts w:ascii="仿宋_GB2312" w:eastAsia="仿宋_GB2312" w:hAnsi="微软雅黑" w:cs="微软雅黑"/>
          <w:color w:val="000000"/>
          <w:sz w:val="30"/>
          <w:szCs w:val="30"/>
        </w:rPr>
      </w:pPr>
    </w:p>
    <w:p w:rsidR="004C523A" w:rsidRDefault="004C523A">
      <w:pPr>
        <w:pStyle w:val="NormalWeb"/>
        <w:widowControl/>
        <w:snapToGrid w:val="0"/>
        <w:spacing w:before="0" w:beforeAutospacing="0" w:after="0" w:afterAutospacing="0"/>
        <w:jc w:val="center"/>
        <w:rPr>
          <w:rFonts w:ascii="宋体" w:cs="宋体"/>
          <w:b/>
          <w:bCs/>
          <w:color w:val="000000"/>
          <w:spacing w:val="-20"/>
          <w:kern w:val="44"/>
          <w:sz w:val="44"/>
          <w:szCs w:val="44"/>
        </w:rPr>
      </w:pPr>
      <w:r>
        <w:rPr>
          <w:rFonts w:ascii="方正小标宋简体" w:eastAsia="方正小标宋简体" w:hAnsi="微软雅黑" w:cs="微软雅黑" w:hint="eastAsia"/>
          <w:color w:val="000000"/>
          <w:spacing w:val="-20"/>
          <w:kern w:val="44"/>
          <w:sz w:val="44"/>
          <w:szCs w:val="44"/>
        </w:rPr>
        <w:t xml:space="preserve">　</w:t>
      </w:r>
      <w:r>
        <w:rPr>
          <w:rFonts w:ascii="宋体" w:hAnsi="宋体" w:cs="宋体" w:hint="eastAsia"/>
          <w:b/>
          <w:bCs/>
          <w:spacing w:val="-20"/>
          <w:kern w:val="44"/>
          <w:sz w:val="44"/>
          <w:szCs w:val="44"/>
        </w:rPr>
        <w:t>中小学（幼儿园）安全工作专项督导暂行办法</w:t>
      </w:r>
    </w:p>
    <w:p w:rsidR="004C523A" w:rsidRDefault="004C523A">
      <w:pPr>
        <w:pStyle w:val="NormalWeb"/>
        <w:widowControl/>
        <w:spacing w:before="0" w:beforeAutospacing="0" w:after="0" w:afterAutospacing="0"/>
        <w:jc w:val="center"/>
        <w:rPr>
          <w:rStyle w:val="Strong"/>
          <w:rFonts w:ascii="仿宋_GB2312" w:eastAsia="仿宋_GB2312" w:hAnsi="微软雅黑" w:cs="微软雅黑"/>
          <w:color w:val="000000"/>
          <w:sz w:val="30"/>
          <w:szCs w:val="30"/>
        </w:rPr>
      </w:pPr>
      <w:r>
        <w:rPr>
          <w:rStyle w:val="Strong"/>
          <w:rFonts w:ascii="仿宋_GB2312" w:eastAsia="仿宋_GB2312" w:hAnsi="微软雅黑" w:cs="微软雅黑" w:hint="eastAsia"/>
          <w:color w:val="000000"/>
          <w:sz w:val="30"/>
          <w:szCs w:val="30"/>
        </w:rPr>
        <w:t xml:space="preserve">　　</w:t>
      </w:r>
    </w:p>
    <w:p w:rsidR="004C523A" w:rsidRDefault="004C523A">
      <w:pPr>
        <w:pStyle w:val="NormalWeb"/>
        <w:widowControl/>
        <w:spacing w:before="0" w:beforeAutospacing="0" w:after="0" w:afterAutospacing="0"/>
        <w:jc w:val="center"/>
        <w:rPr>
          <w:rFonts w:ascii="黑体" w:eastAsia="黑体" w:hAnsi="微软雅黑" w:cs="微软雅黑"/>
          <w:b/>
          <w:color w:val="000000"/>
          <w:sz w:val="30"/>
          <w:szCs w:val="30"/>
        </w:rPr>
      </w:pPr>
      <w:r>
        <w:rPr>
          <w:rStyle w:val="Strong"/>
          <w:rFonts w:ascii="黑体" w:eastAsia="黑体" w:hAnsi="微软雅黑" w:cs="微软雅黑" w:hint="eastAsia"/>
          <w:b w:val="0"/>
          <w:color w:val="000000"/>
          <w:sz w:val="30"/>
          <w:szCs w:val="30"/>
        </w:rPr>
        <w:t>第一章</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总</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则</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第一条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为贯彻落实党中央、国务院关于切实加强学校安全工作的总体要求，督促各地认真做好中小学（幼儿园）（以下简称学校）安全管理工作，根据《教育督导条例》及国家相关政策法规，制定本办法。</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第二条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学校安全工作专项督导是促进地方政府及相关职能部门、学校建立科学化、规范化、制度化的安全保障体系和运行机制，提高学校安全风险防控能力的重要举措。</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第三条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国务院教育督导委员会办公室负责对省级学校安全工作进行专项督导，省、市、县级人民政府教育督导机构负责对下一级及辖区内的学校安全工作进行专项督导。</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第四条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实施学校安全工作专项督导应坚持以下原则：</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统一领导。切实加强组织领导和统筹协调，把学校安全工作作为公共安全和社会治安综合治理的重要内容，定期开展督导检查。</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注重实效。完善学校安全工作专项督导形式、内容和方法，因地制宜，确保学校安全工作专项督导取得实效。</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（三）</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公开透明。坚持标准与方法公开、组织与人员公开、过程与结果公开，主动接受社会监督。</w:t>
      </w:r>
    </w:p>
    <w:p w:rsidR="004C523A" w:rsidRDefault="004C523A">
      <w:pPr>
        <w:pStyle w:val="NormalWeb"/>
        <w:widowControl/>
        <w:spacing w:before="0" w:beforeAutospacing="0" w:after="0" w:afterAutospacing="0"/>
        <w:jc w:val="center"/>
        <w:rPr>
          <w:rStyle w:val="Strong"/>
          <w:rFonts w:ascii="黑体" w:eastAsia="黑体"/>
        </w:rPr>
      </w:pPr>
      <w:r>
        <w:rPr>
          <w:rStyle w:val="Strong"/>
          <w:rFonts w:ascii="黑体" w:eastAsia="黑体" w:hAnsi="微软雅黑" w:cs="微软雅黑" w:hint="eastAsia"/>
          <w:b w:val="0"/>
          <w:color w:val="000000"/>
          <w:sz w:val="30"/>
          <w:szCs w:val="30"/>
        </w:rPr>
        <w:t>第二章</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督导内容</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第五条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组织管理</w:t>
      </w:r>
    </w:p>
    <w:p w:rsidR="004C523A" w:rsidRDefault="004C523A">
      <w:pPr>
        <w:pStyle w:val="NormalWeb"/>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（一）省级人民政府建立健全学校安全工作组织管理体系，督促市、县级政府落实学校安全工作管理与监督责任情况。</w:t>
      </w:r>
    </w:p>
    <w:p w:rsidR="004C523A" w:rsidRDefault="004C523A">
      <w:pPr>
        <w:pStyle w:val="NormalWeb"/>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（二）相关职能部门落实学校安全工作资金与资源，开展安全管理培训与指导，监督学校建立健全安全管理机构、落实岗位安全职责，配备安全保卫人员情况。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第六条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制度建设</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（一）省级人民政府贯彻落实国家有关学校安全工作的法律法规、规章制度和标准规范，建立健全学校安全工作治理机制，制定完善本地方学校安全标准体系，开展学校安全事项认证情况。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（二）相关职能部门各司其职、齐抓共管，完善落实学校安全工作监督、管理，加强学校及周边安全综合治理，建立学生安全区域情况。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（三）学校建立健全安全管理制度和安全应急机制，按照《中小学幼儿园安全防范工作规范（试行）》要求，落实人防、物防、技防“三防”建设和安全管理各环节、岗位职责情况。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第七条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预警防范</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（一）相关职能部门建立隐患排查与整治的学校安全预警机制，及时发布安全预警公告情况。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（二）相关职能部门制定学校安全风险清单，开展学校安全检查与动态监测，及时分析和评估安全风险，提出预警信息情况。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（三）学校建立健全及落实安全教育、日常管理、体育运动、校外活动、公共安全事件、校车安全、食品安全、卫生防疫、自然灾害风险评估和预防情况。</w:t>
      </w:r>
    </w:p>
    <w:p w:rsidR="004C523A" w:rsidRDefault="004C523A">
      <w:pPr>
        <w:pStyle w:val="NormalWeb"/>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第八条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教育演练</w:t>
      </w:r>
    </w:p>
    <w:p w:rsidR="004C523A" w:rsidRDefault="004C523A">
      <w:pPr>
        <w:pStyle w:val="NormalWeb"/>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（一）教育部门按照《中小学公共安全教育指导纲要》指导学校加强安全教育，落实安全教育进课堂，保障安全教育所需资金、教学资源和师资情况。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（二）相关职能部门指导和参与学校安全教育，开展安全防范进校园活动情况。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（三）学校按照《中小学幼儿园应急疏散演练指南》开展安全教育，定期组织地震、火灾等应急疏散演练情况。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第九条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重点治理</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（一）相关职能部门加强溺水、事故、学生欺凌和暴力行为等重点问题预防与应对，及时做好专项报告和统计分析，指导学校履行教育和管理职责情况。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（二）教育部门会同公安等部门及时打击涉及学校、学生安全的违法犯罪行为，维护正常教育教学秩序，建设平安校园情况。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（三）教育部门及学校健全未成年学生权利保护制度，防范、调查、处理侵害未成年学生身心健康事件，开展心理、行为咨询和矫治活动情况。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事故处理</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（一）省级人民政府建立健全学校安全事故应对、处理与责任追究机制情况。</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（二）相关职能部门及时组织实施救援，落实事故调查、责任认定和善后处理，追究事故相关单位及责任人行政、刑事责任情况。</w:t>
      </w:r>
    </w:p>
    <w:p w:rsidR="004C523A" w:rsidRDefault="004C523A">
      <w:pPr>
        <w:pStyle w:val="NormalWeb"/>
        <w:widowControl/>
        <w:spacing w:before="0" w:beforeAutospacing="0" w:after="0" w:afterAutospacing="0"/>
        <w:ind w:firstLine="615"/>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（三）教育部门及学校妥善处理安全事故纠纷，维护学校正常教育教学秩序情况。</w:t>
      </w:r>
    </w:p>
    <w:p w:rsidR="004C523A" w:rsidRDefault="004C523A">
      <w:pPr>
        <w:pStyle w:val="NormalWeb"/>
        <w:widowControl/>
        <w:spacing w:before="0" w:beforeAutospacing="0" w:after="0" w:afterAutospacing="0"/>
        <w:jc w:val="center"/>
        <w:rPr>
          <w:rFonts w:ascii="黑体" w:eastAsia="黑体" w:hAnsi="微软雅黑" w:cs="微软雅黑"/>
          <w:b/>
          <w:color w:val="000000"/>
          <w:sz w:val="30"/>
          <w:szCs w:val="30"/>
        </w:rPr>
      </w:pPr>
      <w:r>
        <w:rPr>
          <w:rStyle w:val="Strong"/>
          <w:rFonts w:ascii="黑体" w:eastAsia="黑体" w:hAnsi="微软雅黑" w:cs="微软雅黑" w:hint="eastAsia"/>
          <w:b w:val="0"/>
          <w:color w:val="000000"/>
          <w:sz w:val="30"/>
          <w:szCs w:val="30"/>
        </w:rPr>
        <w:t>第三章</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组织实施</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第十一条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日常监督。充分发挥责任督学作用，强化日常检查，促进学校安全工作有序进行。</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第十二条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地方自查。省级人民政府及相关职能部门根据指标体系进行自查，并将自查报告在当地政府及省级教育行政部门网站上公示，公示期满后报送国务院教育督导委员会办公室。</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第十三条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实地督导。国务院教育督导委员会办公室根据日常监督与地方自查情况，编制实地督导实施细则，随机抽取督学和专家组成督导组，随机确定督导对象，采取听取汇报、查阅材料、重点检查、随机抽查、个别访谈等方式开展实地督导。</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第十四条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发布报告。国务院教育督导委员会办公室根据各省（区、市）自评和实地督导结果，形成专项督导意见和督导报告，督导报告向社会发布。</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第十五条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整改落实。被督导省（区、市）在接到督导组督导意见后，按照整改要求和建议积极进行整改，并在</w:t>
      </w:r>
      <w:r>
        <w:rPr>
          <w:rFonts w:ascii="仿宋_GB2312" w:eastAsia="仿宋_GB2312" w:hAnsi="微软雅黑" w:cs="微软雅黑"/>
          <w:color w:val="000000"/>
          <w:sz w:val="30"/>
          <w:szCs w:val="30"/>
        </w:rPr>
        <w:t>3</w:t>
      </w:r>
      <w:r>
        <w:rPr>
          <w:rFonts w:ascii="仿宋_GB2312" w:eastAsia="仿宋_GB2312" w:hAnsi="微软雅黑" w:cs="微软雅黑" w:hint="eastAsia"/>
          <w:color w:val="000000"/>
          <w:sz w:val="30"/>
          <w:szCs w:val="30"/>
        </w:rPr>
        <w:t>个月内向国务院教育督导委员会办公室书面报告整改情况。需要立即整改的重大安全隐患，则要在</w:t>
      </w:r>
      <w:r>
        <w:rPr>
          <w:rFonts w:ascii="仿宋_GB2312" w:eastAsia="仿宋_GB2312" w:hAnsi="微软雅黑" w:cs="微软雅黑"/>
          <w:color w:val="000000"/>
          <w:sz w:val="30"/>
          <w:szCs w:val="30"/>
        </w:rPr>
        <w:t>1</w:t>
      </w:r>
      <w:r>
        <w:rPr>
          <w:rFonts w:ascii="仿宋_GB2312" w:eastAsia="仿宋_GB2312" w:hAnsi="微软雅黑" w:cs="微软雅黑" w:hint="eastAsia"/>
          <w:color w:val="000000"/>
          <w:sz w:val="30"/>
          <w:szCs w:val="30"/>
        </w:rPr>
        <w:t>个月内向国务院教育督导委员会办公室报告整改情况。</w:t>
      </w:r>
    </w:p>
    <w:p w:rsidR="004C523A" w:rsidRDefault="004C523A">
      <w:pPr>
        <w:pStyle w:val="NormalWeb"/>
        <w:widowControl/>
        <w:spacing w:before="0" w:beforeAutospacing="0" w:after="0" w:afterAutospacing="0"/>
        <w:jc w:val="center"/>
        <w:rPr>
          <w:rStyle w:val="Strong"/>
          <w:rFonts w:ascii="黑体" w:eastAsia="黑体" w:hAnsi="微软雅黑" w:cs="微软雅黑"/>
          <w:b w:val="0"/>
          <w:color w:val="000000"/>
          <w:sz w:val="30"/>
          <w:szCs w:val="30"/>
        </w:rPr>
      </w:pPr>
      <w:r>
        <w:rPr>
          <w:rStyle w:val="Strong"/>
          <w:rFonts w:ascii="黑体" w:eastAsia="黑体" w:hAnsi="微软雅黑" w:cs="微软雅黑" w:hint="eastAsia"/>
          <w:b w:val="0"/>
          <w:color w:val="000000"/>
          <w:sz w:val="30"/>
          <w:szCs w:val="30"/>
        </w:rPr>
        <w:t>第四章</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结果运用</w:t>
      </w:r>
    </w:p>
    <w:p w:rsidR="004C523A" w:rsidRDefault="004C523A">
      <w:pPr>
        <w:pStyle w:val="NormalWeb"/>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第十六条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国务院教育督导委员会办公室建立工作问责机制，把专项督导结果作为评价政府教育工作成效的重要内容，对职责落实不到位的地区给予通报批评，对学校安全工作不力或出现严重问题的地区进行问责。</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第十七条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对学校安全工作中出现的特大、重大学校安全责任事故，严重违法、违纪、违规问题，按照法律法规和有关规定开展调查处理。对违纪问题线索，交由纪检监察机关进行调查，严肃追究相关单位和责任人的责任。涉嫌犯罪的，移送司法机关依法处理。</w:t>
      </w:r>
    </w:p>
    <w:p w:rsidR="004C523A" w:rsidRDefault="004C523A">
      <w:pPr>
        <w:pStyle w:val="NormalWeb"/>
        <w:widowControl/>
        <w:spacing w:before="0" w:beforeAutospacing="0" w:after="0" w:afterAutospacing="0"/>
        <w:jc w:val="center"/>
        <w:rPr>
          <w:rFonts w:ascii="黑体" w:eastAsia="黑体" w:hAnsi="微软雅黑" w:cs="微软雅黑"/>
          <w:b/>
          <w:color w:val="000000"/>
          <w:sz w:val="30"/>
          <w:szCs w:val="30"/>
        </w:rPr>
      </w:pPr>
      <w:r>
        <w:rPr>
          <w:rStyle w:val="Strong"/>
          <w:rFonts w:ascii="黑体" w:eastAsia="黑体" w:hAnsi="微软雅黑" w:cs="微软雅黑" w:hint="eastAsia"/>
          <w:b w:val="0"/>
          <w:color w:val="000000"/>
          <w:sz w:val="30"/>
          <w:szCs w:val="30"/>
        </w:rPr>
        <w:t>第五章</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附</w:t>
      </w:r>
      <w:r>
        <w:rPr>
          <w:rStyle w:val="Strong"/>
          <w:rFonts w:ascii="黑体" w:eastAsia="黑体" w:hAnsi="微软雅黑" w:cs="微软雅黑"/>
          <w:b w:val="0"/>
          <w:color w:val="000000"/>
          <w:sz w:val="30"/>
          <w:szCs w:val="30"/>
        </w:rPr>
        <w:t xml:space="preserve">  </w:t>
      </w:r>
      <w:r>
        <w:rPr>
          <w:rStyle w:val="Strong"/>
          <w:rFonts w:ascii="黑体" w:eastAsia="黑体" w:hAnsi="微软雅黑" w:cs="微软雅黑" w:hint="eastAsia"/>
          <w:b w:val="0"/>
          <w:color w:val="000000"/>
          <w:sz w:val="30"/>
          <w:szCs w:val="30"/>
        </w:rPr>
        <w:t>则</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第十八条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省级人民政府依据本办法制定本省份学校安全工作专项督导实施方案。</w:t>
      </w:r>
    </w:p>
    <w:p w:rsidR="004C523A" w:rsidRDefault="004C523A">
      <w:pPr>
        <w:pStyle w:val="NormalWeb"/>
        <w:widowControl/>
        <w:spacing w:before="0" w:beforeAutospacing="0" w:after="0" w:afterAutospacing="0"/>
        <w:rPr>
          <w:rFonts w:ascii="仿宋_GB2312" w:eastAsia="仿宋_GB2312" w:hAnsi="微软雅黑" w:cs="微软雅黑"/>
          <w:color w:val="000000"/>
          <w:sz w:val="30"/>
          <w:szCs w:val="30"/>
        </w:rPr>
      </w:pPr>
      <w:r>
        <w:rPr>
          <w:rFonts w:ascii="仿宋_GB2312" w:eastAsia="仿宋_GB2312" w:hAnsi="微软雅黑" w:cs="微软雅黑" w:hint="eastAsia"/>
          <w:color w:val="000000"/>
          <w:sz w:val="30"/>
          <w:szCs w:val="30"/>
        </w:rPr>
        <w:t xml:space="preserve">　　第十九条</w:t>
      </w:r>
      <w:r>
        <w:rPr>
          <w:rFonts w:ascii="仿宋_GB2312" w:eastAsia="仿宋_GB2312" w:hAnsi="微软雅黑" w:cs="微软雅黑"/>
          <w:color w:val="000000"/>
          <w:sz w:val="30"/>
          <w:szCs w:val="30"/>
        </w:rPr>
        <w:t xml:space="preserve"> </w:t>
      </w:r>
      <w:r>
        <w:rPr>
          <w:rFonts w:ascii="仿宋_GB2312" w:eastAsia="仿宋_GB2312" w:hAnsi="微软雅黑" w:cs="微软雅黑" w:hint="eastAsia"/>
          <w:color w:val="000000"/>
          <w:sz w:val="30"/>
          <w:szCs w:val="30"/>
        </w:rPr>
        <w:t>本办法自发布之日起施行。</w:t>
      </w: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仿宋_GB2312" w:hAnsi="宋体"/>
          <w:color w:val="000000"/>
        </w:rPr>
      </w:pPr>
    </w:p>
    <w:p w:rsidR="004C523A" w:rsidRDefault="004C523A">
      <w:pPr>
        <w:rPr>
          <w:rFonts w:ascii="黑体" w:eastAsia="黑体" w:hAnsi="宋体"/>
          <w:color w:val="000000"/>
        </w:rPr>
      </w:pPr>
      <w:r>
        <w:rPr>
          <w:rFonts w:ascii="仿宋_GB2312" w:eastAsia="仿宋_GB2312" w:hAnsi="宋体" w:hint="eastAsia"/>
          <w:color w:val="000000"/>
          <w:sz w:val="32"/>
          <w:szCs w:val="32"/>
        </w:rPr>
        <w:t>附件：</w:t>
      </w:r>
    </w:p>
    <w:p w:rsidR="004C523A" w:rsidRDefault="004C523A">
      <w:pPr>
        <w:adjustRightInd w:val="0"/>
        <w:snapToGrid w:val="0"/>
        <w:jc w:val="center"/>
        <w:rPr>
          <w:rFonts w:ascii="宋体" w:cs="宋体"/>
          <w:color w:val="000000"/>
          <w:sz w:val="44"/>
          <w:szCs w:val="44"/>
        </w:rPr>
      </w:pPr>
      <w:r>
        <w:rPr>
          <w:rFonts w:ascii="宋体" w:hAnsi="宋体" w:cs="宋体" w:hint="eastAsia"/>
          <w:color w:val="000000"/>
          <w:sz w:val="44"/>
          <w:szCs w:val="44"/>
        </w:rPr>
        <w:t>中小学（幼儿园）安全工作专项督导评估</w:t>
      </w:r>
    </w:p>
    <w:p w:rsidR="004C523A" w:rsidRDefault="004C523A">
      <w:pPr>
        <w:adjustRightInd w:val="0"/>
        <w:snapToGrid w:val="0"/>
        <w:jc w:val="center"/>
        <w:rPr>
          <w:rFonts w:ascii="宋体" w:cs="宋体"/>
          <w:color w:val="000000"/>
          <w:sz w:val="44"/>
          <w:szCs w:val="44"/>
        </w:rPr>
      </w:pPr>
      <w:r>
        <w:rPr>
          <w:rFonts w:ascii="宋体" w:hAnsi="宋体" w:cs="宋体" w:hint="eastAsia"/>
          <w:color w:val="000000"/>
          <w:sz w:val="44"/>
          <w:szCs w:val="44"/>
        </w:rPr>
        <w:t>指</w:t>
      </w:r>
      <w:r>
        <w:rPr>
          <w:rFonts w:ascii="宋体" w:hAnsi="宋体" w:cs="宋体"/>
          <w:color w:val="000000"/>
          <w:sz w:val="44"/>
          <w:szCs w:val="44"/>
        </w:rPr>
        <w:t xml:space="preserve">  </w:t>
      </w:r>
      <w:r>
        <w:rPr>
          <w:rFonts w:ascii="宋体" w:hAnsi="宋体" w:cs="宋体" w:hint="eastAsia"/>
          <w:color w:val="000000"/>
          <w:sz w:val="44"/>
          <w:szCs w:val="44"/>
        </w:rPr>
        <w:t>标</w:t>
      </w:r>
      <w:r>
        <w:rPr>
          <w:rFonts w:ascii="宋体" w:hAnsi="宋体" w:cs="宋体"/>
          <w:color w:val="000000"/>
          <w:sz w:val="44"/>
          <w:szCs w:val="44"/>
        </w:rPr>
        <w:t xml:space="preserve">  </w:t>
      </w:r>
      <w:r>
        <w:rPr>
          <w:rFonts w:ascii="宋体" w:hAnsi="宋体" w:cs="宋体" w:hint="eastAsia"/>
          <w:color w:val="000000"/>
          <w:sz w:val="44"/>
          <w:szCs w:val="44"/>
        </w:rPr>
        <w:t>体</w:t>
      </w:r>
      <w:r>
        <w:rPr>
          <w:rFonts w:ascii="宋体" w:hAnsi="宋体" w:cs="宋体"/>
          <w:color w:val="000000"/>
          <w:sz w:val="44"/>
          <w:szCs w:val="44"/>
        </w:rPr>
        <w:t xml:space="preserve">  </w:t>
      </w:r>
      <w:r>
        <w:rPr>
          <w:rFonts w:ascii="宋体" w:hAnsi="宋体" w:cs="宋体" w:hint="eastAsia"/>
          <w:color w:val="000000"/>
          <w:sz w:val="44"/>
          <w:szCs w:val="44"/>
        </w:rPr>
        <w:t>系</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5"/>
        <w:gridCol w:w="843"/>
        <w:gridCol w:w="7372"/>
      </w:tblGrid>
      <w:tr w:rsidR="004C523A" w:rsidRPr="00DB4B2F" w:rsidTr="00DB4B2F">
        <w:trPr>
          <w:trHeight w:val="600"/>
        </w:trPr>
        <w:tc>
          <w:tcPr>
            <w:tcW w:w="865" w:type="dxa"/>
            <w:vAlign w:val="center"/>
          </w:tcPr>
          <w:p w:rsidR="004C523A" w:rsidRPr="00DB4B2F" w:rsidRDefault="004C523A" w:rsidP="00DB4B2F">
            <w:pPr>
              <w:adjustRightInd w:val="0"/>
              <w:snapToGrid w:val="0"/>
              <w:jc w:val="center"/>
              <w:rPr>
                <w:rFonts w:ascii="黑体" w:eastAsia="黑体"/>
                <w:color w:val="000000"/>
                <w:szCs w:val="21"/>
              </w:rPr>
            </w:pPr>
            <w:r w:rsidRPr="00DB4B2F">
              <w:rPr>
                <w:rFonts w:ascii="黑体" w:eastAsia="黑体" w:hint="eastAsia"/>
                <w:color w:val="000000"/>
                <w:szCs w:val="21"/>
              </w:rPr>
              <w:t>一级指标</w:t>
            </w:r>
          </w:p>
        </w:tc>
        <w:tc>
          <w:tcPr>
            <w:tcW w:w="843" w:type="dxa"/>
            <w:vAlign w:val="center"/>
          </w:tcPr>
          <w:p w:rsidR="004C523A" w:rsidRPr="00DB4B2F" w:rsidRDefault="004C523A" w:rsidP="00DB4B2F">
            <w:pPr>
              <w:adjustRightInd w:val="0"/>
              <w:snapToGrid w:val="0"/>
              <w:jc w:val="center"/>
              <w:rPr>
                <w:rFonts w:ascii="黑体" w:eastAsia="黑体"/>
                <w:color w:val="000000"/>
                <w:szCs w:val="21"/>
              </w:rPr>
            </w:pPr>
            <w:r w:rsidRPr="00DB4B2F">
              <w:rPr>
                <w:rFonts w:ascii="黑体" w:eastAsia="黑体" w:hint="eastAsia"/>
                <w:color w:val="000000"/>
                <w:szCs w:val="21"/>
              </w:rPr>
              <w:t>二级指标</w:t>
            </w:r>
          </w:p>
        </w:tc>
        <w:tc>
          <w:tcPr>
            <w:tcW w:w="7372" w:type="dxa"/>
            <w:vAlign w:val="center"/>
          </w:tcPr>
          <w:p w:rsidR="004C523A" w:rsidRPr="00DB4B2F" w:rsidRDefault="004C523A" w:rsidP="00DB4B2F">
            <w:pPr>
              <w:adjustRightInd w:val="0"/>
              <w:snapToGrid w:val="0"/>
              <w:jc w:val="center"/>
              <w:rPr>
                <w:rFonts w:ascii="黑体" w:eastAsia="黑体"/>
                <w:color w:val="000000"/>
                <w:szCs w:val="21"/>
              </w:rPr>
            </w:pPr>
            <w:r w:rsidRPr="00DB4B2F">
              <w:rPr>
                <w:rFonts w:ascii="黑体" w:eastAsia="黑体" w:hint="eastAsia"/>
                <w:color w:val="000000"/>
                <w:szCs w:val="21"/>
              </w:rPr>
              <w:t>评估要点</w:t>
            </w:r>
          </w:p>
        </w:tc>
      </w:tr>
      <w:tr w:rsidR="004C523A" w:rsidRPr="00DB4B2F" w:rsidTr="00DB4B2F">
        <w:trPr>
          <w:trHeight w:val="891"/>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组织管理</w:t>
            </w: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建设组织机构</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省级人民政府建立健全学校安全工作组织管理体系，督促市、县级政府落实学校安全工作管理与监督责任。</w:t>
            </w:r>
          </w:p>
        </w:tc>
      </w:tr>
      <w:tr w:rsidR="004C523A" w:rsidRPr="00DB4B2F" w:rsidTr="00DB4B2F">
        <w:trPr>
          <w:trHeight w:val="600"/>
        </w:trPr>
        <w:tc>
          <w:tcPr>
            <w:tcW w:w="865" w:type="dxa"/>
            <w:vMerge/>
            <w:vAlign w:val="center"/>
          </w:tcPr>
          <w:p w:rsidR="004C523A" w:rsidRPr="00DB4B2F" w:rsidRDefault="004C523A" w:rsidP="00DB4B2F">
            <w:pPr>
              <w:adjustRightInd w:val="0"/>
              <w:snapToGrid w:val="0"/>
              <w:jc w:val="center"/>
              <w:rPr>
                <w:rFonts w:ascii="仿宋_GB2312"/>
                <w:color w:val="000000"/>
                <w:szCs w:val="21"/>
              </w:rPr>
            </w:pP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落实部门职责</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教育部门指导、监督学校建立安全管理机构，健全各环节、各岗位职责，开展安全管理培训与指导，协调落实安全工作资金、资源和人员配备。</w:t>
            </w:r>
          </w:p>
        </w:tc>
      </w:tr>
      <w:tr w:rsidR="004C523A" w:rsidRPr="00DB4B2F" w:rsidTr="00DB4B2F">
        <w:trPr>
          <w:trHeight w:val="60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公安机关会同教育部门和学校建立健全警校合作、信息联动、校园监控与紧急报警机制，及时出警处置学校的报警求助。</w:t>
            </w:r>
          </w:p>
        </w:tc>
      </w:tr>
      <w:tr w:rsidR="004C523A" w:rsidRPr="00DB4B2F" w:rsidTr="00DB4B2F">
        <w:trPr>
          <w:trHeight w:val="891"/>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公安消防部门对学校遵守消防法律法规情况依法进行监督检查，督促和指导学校落实消防安全职责、检查和消除火灾隐患、开展消防安全教育培训和消防演练。</w:t>
            </w:r>
          </w:p>
        </w:tc>
      </w:tr>
      <w:tr w:rsidR="004C523A" w:rsidRPr="00DB4B2F" w:rsidTr="00DB4B2F">
        <w:trPr>
          <w:trHeight w:val="843"/>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公安交管部门加强对校车道路通行情况进行监督检查，依法查处涉及校车道路交通违法行为，保护校车通行权利和通行秩序。</w:t>
            </w:r>
          </w:p>
        </w:tc>
      </w:tr>
      <w:tr w:rsidR="004C523A" w:rsidRPr="00DB4B2F" w:rsidTr="00DB4B2F">
        <w:trPr>
          <w:trHeight w:val="633"/>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交通运输部门会同公安部门合理规划城市、农村公共交通客运路线。</w:t>
            </w:r>
          </w:p>
        </w:tc>
      </w:tr>
      <w:tr w:rsidR="004C523A" w:rsidRPr="00DB4B2F" w:rsidTr="00DB4B2F">
        <w:trPr>
          <w:trHeight w:val="611"/>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住建部门监管依法办理相关手续的学校工程建设。</w:t>
            </w:r>
          </w:p>
        </w:tc>
      </w:tr>
      <w:tr w:rsidR="004C523A" w:rsidRPr="00DB4B2F" w:rsidTr="00DB4B2F">
        <w:trPr>
          <w:trHeight w:val="31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环保部门监管学校及周边大气、土壤、水体环境的安全。</w:t>
            </w:r>
          </w:p>
        </w:tc>
      </w:tr>
      <w:tr w:rsidR="004C523A" w:rsidRPr="00DB4B2F" w:rsidTr="00DB4B2F">
        <w:trPr>
          <w:trHeight w:val="60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卫生计生部门指导、监督学校做好卫生防疫、保健工作，对学校出现的疫情或者学生群体性健康问题，及时指导教育部门或学校采取措施。</w:t>
            </w:r>
          </w:p>
        </w:tc>
      </w:tr>
      <w:tr w:rsidR="004C523A" w:rsidRPr="00DB4B2F" w:rsidTr="00DB4B2F">
        <w:trPr>
          <w:trHeight w:val="60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工商、文化、新闻出版广电部门管理、监督学校周边有关经营服务场所，查处出售非法、违禁出版物和假冒伪劣商品、食品等行为。</w:t>
            </w:r>
          </w:p>
        </w:tc>
      </w:tr>
      <w:tr w:rsidR="004C523A" w:rsidRPr="00DB4B2F" w:rsidTr="00DB4B2F">
        <w:trPr>
          <w:trHeight w:val="60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质量监督部门指导、监督学校做好采购材料、产品的质量把关工作，定期检验学校特种设备。</w:t>
            </w:r>
          </w:p>
        </w:tc>
      </w:tr>
      <w:tr w:rsidR="004C523A" w:rsidRPr="00DB4B2F" w:rsidTr="00DB4B2F">
        <w:trPr>
          <w:trHeight w:val="600"/>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食品药品监督管理部门指导、监督学校建立健全食品、药品安全制度，落实学校主体责任。加强监督检查，防控食品、药品安全风险。</w:t>
            </w:r>
          </w:p>
        </w:tc>
      </w:tr>
      <w:tr w:rsidR="004C523A" w:rsidRPr="00DB4B2F" w:rsidTr="00DB4B2F">
        <w:trPr>
          <w:trHeight w:val="487"/>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城市管理部门会同公安部门维护学校周边秩序，消除安全隐患。</w:t>
            </w:r>
          </w:p>
        </w:tc>
      </w:tr>
      <w:tr w:rsidR="004C523A" w:rsidRPr="00DB4B2F" w:rsidTr="00DB4B2F">
        <w:trPr>
          <w:trHeight w:val="784"/>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制度建设</w:t>
            </w: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制定规章制度</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贯彻落实国家有关学校安全工作的法律法规、规章制度和标准规范，完善落实学校安全工作监督、管理制度。</w:t>
            </w:r>
          </w:p>
        </w:tc>
      </w:tr>
      <w:tr w:rsidR="004C523A" w:rsidRPr="00DB4B2F" w:rsidTr="00DB4B2F">
        <w:trPr>
          <w:trHeight w:val="859"/>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指导、监督学校建立健全安全管理制度、安全应急机制，制定各环节、岗位安全职责，形成完整安全管理制度体系。</w:t>
            </w:r>
          </w:p>
        </w:tc>
      </w:tr>
      <w:tr w:rsidR="004C523A" w:rsidRPr="00DB4B2F" w:rsidTr="00DB4B2F">
        <w:trPr>
          <w:trHeight w:val="1113"/>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建立工作机制</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建立学校安全工作治理机制，形成各司其职、齐抓共管的工作格局。</w:t>
            </w:r>
          </w:p>
        </w:tc>
      </w:tr>
      <w:tr w:rsidR="004C523A" w:rsidRPr="00DB4B2F" w:rsidTr="00DB4B2F">
        <w:trPr>
          <w:trHeight w:val="1054"/>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制度建设</w:t>
            </w: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健全安全标准</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严格执行国家相关标准规范，结合实际制定本地区学校安全标准体系，落实人防、物防、技防“三防”建设要求，保证学校的校舍、围墙、场地、教学设施、教学用具、生活设施等符合安全质量标准。</w:t>
            </w:r>
          </w:p>
        </w:tc>
      </w:tr>
      <w:tr w:rsidR="004C523A" w:rsidRPr="00DB4B2F" w:rsidTr="00DB4B2F">
        <w:trPr>
          <w:trHeight w:val="862"/>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完善认证机制</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建立学校安全事项认证机制，对学校设施设备、教学仪器、食品药品、建筑材料、日常用品、体育器械等实施严格、科学的认证，严控产品质量。</w:t>
            </w:r>
          </w:p>
        </w:tc>
      </w:tr>
      <w:tr w:rsidR="004C523A" w:rsidRPr="00DB4B2F" w:rsidTr="00DB4B2F">
        <w:trPr>
          <w:trHeight w:val="891"/>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建立按全区域</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将学校周边一定范围划定为学校学生安全管理区域，加强区域内交通管理、治安防控、环境治理。</w:t>
            </w:r>
          </w:p>
        </w:tc>
      </w:tr>
      <w:tr w:rsidR="004C523A" w:rsidRPr="00DB4B2F" w:rsidTr="00DB4B2F">
        <w:trPr>
          <w:trHeight w:val="891"/>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预警防范</w:t>
            </w: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排查安全隐患</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健全学校安全预警机制，制定风险清单，开展动态监测、数据搜集与分析，定期分析汇总学校安全隐患。</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强化风险识别</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发布公共安全事件、自然灾害、食品安全、疾病预防等安全风险预警公告，指导学校予以防范。</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ign w:val="center"/>
          </w:tcPr>
          <w:p w:rsidR="004C523A" w:rsidRPr="00DB4B2F" w:rsidRDefault="004C523A" w:rsidP="00DB4B2F">
            <w:pPr>
              <w:adjustRightInd w:val="0"/>
              <w:snapToGrid w:val="0"/>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指导学校识别防范教育教学、日常管理、体育运动、校外活动中存在的风险，做好风险评估和预防。</w:t>
            </w:r>
          </w:p>
        </w:tc>
      </w:tr>
      <w:tr w:rsidR="004C523A" w:rsidRPr="00DB4B2F" w:rsidTr="00DB4B2F">
        <w:trPr>
          <w:trHeight w:val="600"/>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教育演练</w:t>
            </w: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开展安全教育</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按照《中小学公共安全教育指导纲要》要求，在学科教学和综合实践活动课程中渗透公共安全教育内容，多途径、多方式开展安全教育活动。</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指导学校开展防溺水、交通、消防、食品安全、疾病预防、特种设备安全、中毒、伤害、性侵害、反欺凌、反校园暴力、反恐怖行为等教育。</w:t>
            </w:r>
          </w:p>
        </w:tc>
      </w:tr>
      <w:tr w:rsidR="004C523A" w:rsidRPr="00DB4B2F" w:rsidTr="00DB4B2F">
        <w:trPr>
          <w:trHeight w:val="502"/>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开展安全防范进校园活动。</w:t>
            </w:r>
          </w:p>
        </w:tc>
      </w:tr>
      <w:tr w:rsidR="004C523A" w:rsidRPr="00DB4B2F" w:rsidTr="00DB4B2F">
        <w:trPr>
          <w:trHeight w:val="891"/>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组织应急演练</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按照《中小学幼儿园应急疏散演练指南》要求，定期组织开展地震、火灾、洪水等应急疏散演练。</w:t>
            </w:r>
          </w:p>
        </w:tc>
      </w:tr>
      <w:tr w:rsidR="004C523A" w:rsidRPr="00DB4B2F" w:rsidTr="00DB4B2F">
        <w:trPr>
          <w:trHeight w:val="600"/>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重点治理</w:t>
            </w: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关注重点领域</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加强防溺水、交通事故、学生欺凌和暴力行为等重点问题的预防与应对，及时做好专项报告和统计分析。</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ign w:val="center"/>
          </w:tcPr>
          <w:p w:rsidR="004C523A" w:rsidRPr="00DB4B2F" w:rsidRDefault="004C523A" w:rsidP="00DB4B2F">
            <w:pPr>
              <w:adjustRightInd w:val="0"/>
              <w:snapToGrid w:val="0"/>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履行教育、管理职责，及时干预、制止学生欺凌和暴力行为，开展心理、行为咨询和矫治活动。</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打击违法犯罪</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严厉打击涉及学校、师生生命财产安全等违法犯罪行为，维护正常的教育教学秩序，建设平安校园。</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ign w:val="center"/>
          </w:tcPr>
          <w:p w:rsidR="004C523A" w:rsidRPr="00DB4B2F" w:rsidRDefault="004C523A" w:rsidP="00DB4B2F">
            <w:pPr>
              <w:adjustRightInd w:val="0"/>
              <w:snapToGrid w:val="0"/>
              <w:jc w:val="center"/>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健全未成年学生权利保护制度，针对体罚、性骚扰、性侵害等侵害未成年学生人身健康的违法犯罪行为，完善防范、调查与处理的制度机制。</w:t>
            </w:r>
          </w:p>
        </w:tc>
      </w:tr>
      <w:tr w:rsidR="004C523A" w:rsidRPr="00DB4B2F" w:rsidTr="00DB4B2F">
        <w:trPr>
          <w:trHeight w:val="1166"/>
        </w:trPr>
        <w:tc>
          <w:tcPr>
            <w:tcW w:w="865" w:type="dxa"/>
            <w:vMerge w:val="restart"/>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r w:rsidRPr="00DB4B2F">
              <w:rPr>
                <w:rFonts w:ascii="仿宋_GB2312" w:hint="eastAsia"/>
                <w:color w:val="000000"/>
                <w:szCs w:val="21"/>
              </w:rPr>
              <w:t>事故处理</w:t>
            </w:r>
          </w:p>
        </w:tc>
        <w:tc>
          <w:tcPr>
            <w:tcW w:w="843" w:type="dxa"/>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处置应急事故</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建立健全学校安全事故应对与处理机制，指导学校建立安全事故应急处置预案，发生重特大事故，第一时间启动应急预案，及时组织实施救援，进行事故调查、责任认定和善后处理。</w:t>
            </w:r>
          </w:p>
        </w:tc>
      </w:tr>
      <w:tr w:rsidR="004C523A" w:rsidRPr="00DB4B2F" w:rsidTr="00DB4B2F">
        <w:trPr>
          <w:trHeight w:val="600"/>
        </w:trPr>
        <w:tc>
          <w:tcPr>
            <w:tcW w:w="865" w:type="dxa"/>
            <w:vMerge/>
            <w:textDirection w:val="tbRlV"/>
            <w:vAlign w:val="center"/>
          </w:tcPr>
          <w:p w:rsidR="004C523A" w:rsidRPr="00DB4B2F" w:rsidRDefault="004C523A" w:rsidP="00DB4B2F">
            <w:pPr>
              <w:adjustRightInd w:val="0"/>
              <w:snapToGrid w:val="0"/>
              <w:ind w:left="113" w:right="113"/>
              <w:jc w:val="center"/>
              <w:rPr>
                <w:rFonts w:ascii="仿宋_GB2312"/>
                <w:color w:val="000000"/>
                <w:szCs w:val="21"/>
              </w:rPr>
            </w:pPr>
          </w:p>
        </w:tc>
        <w:tc>
          <w:tcPr>
            <w:tcW w:w="843" w:type="dxa"/>
            <w:vMerge w:val="restart"/>
            <w:vAlign w:val="center"/>
          </w:tcPr>
          <w:p w:rsidR="004C523A" w:rsidRPr="00DB4B2F" w:rsidRDefault="004C523A" w:rsidP="00DB4B2F">
            <w:pPr>
              <w:adjustRightInd w:val="0"/>
              <w:snapToGrid w:val="0"/>
              <w:jc w:val="center"/>
              <w:rPr>
                <w:rFonts w:ascii="仿宋_GB2312"/>
                <w:color w:val="000000"/>
                <w:szCs w:val="21"/>
              </w:rPr>
            </w:pPr>
            <w:r w:rsidRPr="00DB4B2F">
              <w:rPr>
                <w:rFonts w:ascii="仿宋_GB2312" w:hint="eastAsia"/>
                <w:color w:val="000000"/>
                <w:szCs w:val="21"/>
              </w:rPr>
              <w:t>追究事故责任</w:t>
            </w: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制定健全学校安全事故责任追究制度，依法认定事故责任，追究相关单位及责任人的行政、刑事责任。</w:t>
            </w:r>
          </w:p>
        </w:tc>
      </w:tr>
      <w:tr w:rsidR="004C523A" w:rsidRPr="00DB4B2F" w:rsidTr="00DB4B2F">
        <w:trPr>
          <w:trHeight w:val="463"/>
        </w:trPr>
        <w:tc>
          <w:tcPr>
            <w:tcW w:w="865" w:type="dxa"/>
            <w:vMerge/>
          </w:tcPr>
          <w:p w:rsidR="004C523A" w:rsidRPr="00DB4B2F" w:rsidRDefault="004C523A" w:rsidP="00DB4B2F">
            <w:pPr>
              <w:adjustRightInd w:val="0"/>
              <w:snapToGrid w:val="0"/>
              <w:rPr>
                <w:rFonts w:ascii="仿宋_GB2312"/>
                <w:color w:val="000000"/>
                <w:szCs w:val="21"/>
              </w:rPr>
            </w:pPr>
          </w:p>
        </w:tc>
        <w:tc>
          <w:tcPr>
            <w:tcW w:w="843" w:type="dxa"/>
            <w:vMerge/>
          </w:tcPr>
          <w:p w:rsidR="004C523A" w:rsidRPr="00DB4B2F" w:rsidRDefault="004C523A" w:rsidP="00DB4B2F">
            <w:pPr>
              <w:adjustRightInd w:val="0"/>
              <w:snapToGrid w:val="0"/>
              <w:rPr>
                <w:rFonts w:ascii="仿宋_GB2312"/>
                <w:color w:val="000000"/>
                <w:szCs w:val="21"/>
              </w:rPr>
            </w:pPr>
          </w:p>
        </w:tc>
        <w:tc>
          <w:tcPr>
            <w:tcW w:w="7372" w:type="dxa"/>
            <w:vAlign w:val="center"/>
          </w:tcPr>
          <w:p w:rsidR="004C523A" w:rsidRPr="00DB4B2F" w:rsidRDefault="004C523A" w:rsidP="00DB4B2F">
            <w:pPr>
              <w:adjustRightInd w:val="0"/>
              <w:snapToGrid w:val="0"/>
              <w:rPr>
                <w:rFonts w:ascii="仿宋_GB2312"/>
                <w:color w:val="000000"/>
                <w:szCs w:val="21"/>
              </w:rPr>
            </w:pPr>
            <w:r w:rsidRPr="00DB4B2F">
              <w:rPr>
                <w:rFonts w:ascii="仿宋_GB2312" w:hint="eastAsia"/>
                <w:color w:val="000000"/>
                <w:szCs w:val="21"/>
              </w:rPr>
              <w:t>指导学校妥善处理事故纠纷，维护学校正常的教育教学秩序。</w:t>
            </w:r>
          </w:p>
        </w:tc>
      </w:tr>
    </w:tbl>
    <w:p w:rsidR="004C523A" w:rsidRDefault="004C523A">
      <w:pPr>
        <w:rPr>
          <w:color w:val="000000"/>
        </w:rPr>
      </w:pPr>
    </w:p>
    <w:p w:rsidR="004C523A" w:rsidRDefault="004C523A" w:rsidP="00882F2F">
      <w:pPr>
        <w:rPr>
          <w:rFonts w:ascii="仿宋_GB2312"/>
          <w:color w:val="000000"/>
        </w:rPr>
      </w:pPr>
    </w:p>
    <w:sectPr w:rsidR="004C523A" w:rsidSect="0004780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3A" w:rsidRDefault="004C523A" w:rsidP="00047809">
      <w:r>
        <w:separator/>
      </w:r>
    </w:p>
  </w:endnote>
  <w:endnote w:type="continuationSeparator" w:id="0">
    <w:p w:rsidR="004C523A" w:rsidRDefault="004C523A" w:rsidP="00047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华文宋体">
    <w:altName w:val="宋体"/>
    <w:panose1 w:val="00000000000000000000"/>
    <w:charset w:val="86"/>
    <w:family w:val="auto"/>
    <w:notTrueType/>
    <w:pitch w:val="default"/>
    <w:sig w:usb0="00000287" w:usb1="080E0000" w:usb2="00000010" w:usb3="00000000" w:csb0="0004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微软雅黑">
    <w:altName w:val="黑体"/>
    <w:panose1 w:val="020B0503020204020204"/>
    <w:charset w:val="86"/>
    <w:family w:val="swiss"/>
    <w:pitch w:val="variable"/>
    <w:sig w:usb0="80000287" w:usb1="2A0F3C52" w:usb2="00000016" w:usb3="00000000" w:csb0="0004001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3A" w:rsidRDefault="004C523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4C523A" w:rsidRDefault="004C523A">
                <w:pPr>
                  <w:pStyle w:val="Footer"/>
                  <w:rPr>
                    <w:rFonts w:eastAsia="宋体"/>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- 1 -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3A" w:rsidRDefault="004C523A" w:rsidP="00047809">
      <w:r>
        <w:separator/>
      </w:r>
    </w:p>
  </w:footnote>
  <w:footnote w:type="continuationSeparator" w:id="0">
    <w:p w:rsidR="004C523A" w:rsidRDefault="004C523A" w:rsidP="00047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C6037D"/>
    <w:rsid w:val="00047809"/>
    <w:rsid w:val="00246176"/>
    <w:rsid w:val="004C523A"/>
    <w:rsid w:val="00882F2F"/>
    <w:rsid w:val="00DB4B2F"/>
    <w:rsid w:val="0DA611BB"/>
    <w:rsid w:val="134F51F9"/>
    <w:rsid w:val="156B7B9C"/>
    <w:rsid w:val="16B027EA"/>
    <w:rsid w:val="16E70900"/>
    <w:rsid w:val="1A731CC8"/>
    <w:rsid w:val="29AD3C93"/>
    <w:rsid w:val="2C1A79E2"/>
    <w:rsid w:val="31C6037D"/>
    <w:rsid w:val="35093DFE"/>
    <w:rsid w:val="42BC2455"/>
    <w:rsid w:val="53E116EA"/>
    <w:rsid w:val="5EFC4B94"/>
    <w:rsid w:val="60126A25"/>
    <w:rsid w:val="63690F94"/>
    <w:rsid w:val="74721F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9"/>
    <w:pPr>
      <w:widowControl w:val="0"/>
      <w:jc w:val="both"/>
    </w:pPr>
    <w:rPr>
      <w:szCs w:val="24"/>
    </w:rPr>
  </w:style>
  <w:style w:type="paragraph" w:styleId="Heading1">
    <w:name w:val="heading 1"/>
    <w:basedOn w:val="Normal"/>
    <w:next w:val="Normal"/>
    <w:link w:val="Heading1Char"/>
    <w:uiPriority w:val="99"/>
    <w:qFormat/>
    <w:rsid w:val="00047809"/>
    <w:pPr>
      <w:spacing w:before="100" w:beforeAutospacing="1" w:after="100"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23C"/>
    <w:rPr>
      <w:b/>
      <w:bCs/>
      <w:kern w:val="44"/>
      <w:sz w:val="44"/>
      <w:szCs w:val="44"/>
    </w:rPr>
  </w:style>
  <w:style w:type="paragraph" w:styleId="Footer">
    <w:name w:val="footer"/>
    <w:basedOn w:val="Normal"/>
    <w:link w:val="FooterChar"/>
    <w:uiPriority w:val="99"/>
    <w:rsid w:val="00047809"/>
    <w:pPr>
      <w:tabs>
        <w:tab w:val="center" w:pos="4153"/>
        <w:tab w:val="right" w:pos="8306"/>
      </w:tabs>
      <w:snapToGrid w:val="0"/>
      <w:jc w:val="left"/>
    </w:pPr>
    <w:rPr>
      <w:rFonts w:ascii="Times New Roman" w:eastAsia="仿宋_GB2312" w:hAnsi="Times New Roman"/>
      <w:sz w:val="18"/>
      <w:szCs w:val="18"/>
    </w:rPr>
  </w:style>
  <w:style w:type="character" w:customStyle="1" w:styleId="FooterChar">
    <w:name w:val="Footer Char"/>
    <w:basedOn w:val="DefaultParagraphFont"/>
    <w:link w:val="Footer"/>
    <w:uiPriority w:val="99"/>
    <w:semiHidden/>
    <w:rsid w:val="00F0323C"/>
    <w:rPr>
      <w:sz w:val="18"/>
      <w:szCs w:val="18"/>
    </w:rPr>
  </w:style>
  <w:style w:type="paragraph" w:styleId="Header">
    <w:name w:val="header"/>
    <w:basedOn w:val="Normal"/>
    <w:link w:val="HeaderChar"/>
    <w:uiPriority w:val="99"/>
    <w:rsid w:val="000478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0323C"/>
    <w:rPr>
      <w:sz w:val="18"/>
      <w:szCs w:val="18"/>
    </w:rPr>
  </w:style>
  <w:style w:type="paragraph" w:styleId="NormalWeb">
    <w:name w:val="Normal (Web)"/>
    <w:basedOn w:val="Normal"/>
    <w:uiPriority w:val="99"/>
    <w:rsid w:val="00047809"/>
    <w:pPr>
      <w:spacing w:before="100" w:beforeAutospacing="1" w:after="100" w:afterAutospacing="1"/>
      <w:jc w:val="left"/>
    </w:pPr>
    <w:rPr>
      <w:kern w:val="0"/>
      <w:sz w:val="24"/>
    </w:rPr>
  </w:style>
  <w:style w:type="character" w:styleId="Strong">
    <w:name w:val="Strong"/>
    <w:basedOn w:val="DefaultParagraphFont"/>
    <w:uiPriority w:val="99"/>
    <w:qFormat/>
    <w:rsid w:val="00047809"/>
    <w:rPr>
      <w:rFonts w:ascii="Times New Roman" w:eastAsia="宋体" w:hAnsi="Times New Roman" w:cs="Times New Roman"/>
      <w:b/>
    </w:rPr>
  </w:style>
  <w:style w:type="table" w:styleId="TableGrid">
    <w:name w:val="Table Grid"/>
    <w:basedOn w:val="TableNormal"/>
    <w:uiPriority w:val="99"/>
    <w:rsid w:val="00047809"/>
    <w:pPr>
      <w:spacing w:beforeLines="100" w:afterLines="100"/>
      <w:jc w:val="both"/>
    </w:pPr>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696</Words>
  <Characters>3973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办公室</cp:lastModifiedBy>
  <cp:revision>2</cp:revision>
  <cp:lastPrinted>2017-11-07T07:47:00Z</cp:lastPrinted>
  <dcterms:created xsi:type="dcterms:W3CDTF">2017-11-09T07:45:00Z</dcterms:created>
  <dcterms:modified xsi:type="dcterms:W3CDTF">2017-11-09T07:45:00Z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