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pacing w:line="540" w:lineRule="exact"/>
        <w:jc w:val="center"/>
        <w:rPr>
          <w:rFonts w:hint="eastAsia" w:ascii="华文仿宋" w:hAnsi="华文仿宋" w:eastAsia="华文仿宋" w:cs="华文仿宋"/>
          <w:color w:val="000000" w:themeColor="text1"/>
          <w:spacing w:val="-6"/>
          <w:kern w:val="84"/>
          <w:sz w:val="60"/>
          <w:szCs w:val="60"/>
          <w14:textFill>
            <w14:solidFill>
              <w14:schemeClr w14:val="tx1"/>
            </w14:solidFill>
          </w14:textFill>
        </w:rPr>
      </w:pPr>
    </w:p>
    <w:p>
      <w:pPr>
        <w:pageBreakBefore w:val="0"/>
        <w:kinsoku/>
        <w:wordWrap/>
        <w:overflowPunct/>
        <w:topLinePunct w:val="0"/>
        <w:autoSpaceDE/>
        <w:autoSpaceDN/>
        <w:bidi w:val="0"/>
        <w:spacing w:line="540" w:lineRule="exact"/>
        <w:jc w:val="center"/>
        <w:rPr>
          <w:rFonts w:ascii="Times New Roman" w:hAnsi="Times New Roman" w:eastAsia="方正小标宋简体" w:cs="方正小标宋简体"/>
          <w:color w:val="000000" w:themeColor="text1"/>
          <w:spacing w:val="-6"/>
          <w:kern w:val="84"/>
          <w:sz w:val="60"/>
          <w:szCs w:val="60"/>
          <w14:textFill>
            <w14:solidFill>
              <w14:schemeClr w14:val="tx1"/>
            </w14:solidFill>
          </w14:textFill>
        </w:rPr>
      </w:pPr>
    </w:p>
    <w:p>
      <w:pPr>
        <w:pageBreakBefore w:val="0"/>
        <w:kinsoku/>
        <w:wordWrap/>
        <w:overflowPunct/>
        <w:topLinePunct w:val="0"/>
        <w:autoSpaceDE/>
        <w:autoSpaceDN/>
        <w:bidi w:val="0"/>
        <w:spacing w:line="540" w:lineRule="exact"/>
        <w:jc w:val="center"/>
        <w:rPr>
          <w:rFonts w:ascii="Times New Roman" w:hAnsi="Times New Roman" w:eastAsia="方正小标宋简体" w:cs="方正小标宋简体"/>
          <w:color w:val="000000" w:themeColor="text1"/>
          <w:spacing w:val="-6"/>
          <w:kern w:val="84"/>
          <w:sz w:val="60"/>
          <w:szCs w:val="6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华文中宋" w:hAnsi="华文中宋" w:eastAsia="华文中宋" w:cs="华文中宋"/>
          <w:b/>
          <w:color w:val="000000" w:themeColor="text1"/>
          <w:spacing w:val="-6"/>
          <w:kern w:val="84"/>
          <w:sz w:val="72"/>
          <w:szCs w:val="72"/>
          <w14:textFill>
            <w14:solidFill>
              <w14:schemeClr w14:val="tx1"/>
            </w14:solidFill>
          </w14:textFill>
        </w:rPr>
      </w:pPr>
      <w:bookmarkStart w:id="0" w:name="_Toc3225"/>
      <w:bookmarkStart w:id="1" w:name="_Toc5560"/>
      <w:bookmarkStart w:id="2" w:name="_Toc24503"/>
      <w:bookmarkStart w:id="3" w:name="_Toc5799"/>
      <w:bookmarkStart w:id="4" w:name="_Toc29053"/>
      <w:bookmarkStart w:id="5" w:name="_Toc32"/>
      <w:bookmarkStart w:id="6" w:name="_Toc6293"/>
      <w:r>
        <w:rPr>
          <w:rFonts w:hint="eastAsia" w:ascii="华文中宋" w:hAnsi="华文中宋" w:eastAsia="华文中宋" w:cs="华文中宋"/>
          <w:b/>
          <w:color w:val="000000" w:themeColor="text1"/>
          <w:spacing w:val="-6"/>
          <w:kern w:val="84"/>
          <w:sz w:val="72"/>
          <w:szCs w:val="72"/>
          <w14:textFill>
            <w14:solidFill>
              <w14:schemeClr w14:val="tx1"/>
            </w14:solidFill>
          </w14:textFill>
        </w:rPr>
        <w:t>驻马店市“十四五”教育事业</w:t>
      </w:r>
      <w:bookmarkEnd w:id="0"/>
      <w:bookmarkEnd w:id="1"/>
      <w:bookmarkEnd w:id="2"/>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ascii="仿宋" w:hAnsi="仿宋" w:eastAsia="仿宋" w:cs="仿宋"/>
          <w:b/>
          <w:color w:val="000000" w:themeColor="text1"/>
          <w:spacing w:val="-6"/>
          <w:kern w:val="84"/>
          <w:sz w:val="72"/>
          <w:szCs w:val="72"/>
          <w14:textFill>
            <w14:solidFill>
              <w14:schemeClr w14:val="tx1"/>
            </w14:solidFill>
          </w14:textFill>
        </w:rPr>
      </w:pPr>
      <w:bookmarkStart w:id="7" w:name="_Toc22376"/>
      <w:bookmarkStart w:id="8" w:name="_Toc1580"/>
      <w:bookmarkStart w:id="9" w:name="_Toc13886"/>
      <w:r>
        <w:rPr>
          <w:rFonts w:hint="eastAsia" w:ascii="华文中宋" w:hAnsi="华文中宋" w:eastAsia="华文中宋" w:cs="华文中宋"/>
          <w:b/>
          <w:color w:val="000000" w:themeColor="text1"/>
          <w:spacing w:val="-6"/>
          <w:kern w:val="84"/>
          <w:sz w:val="72"/>
          <w:szCs w:val="72"/>
          <w14:textFill>
            <w14:solidFill>
              <w14:schemeClr w14:val="tx1"/>
            </w14:solidFill>
          </w14:textFill>
        </w:rPr>
        <w:t>发展</w:t>
      </w:r>
      <w:bookmarkEnd w:id="3"/>
      <w:bookmarkEnd w:id="4"/>
      <w:bookmarkEnd w:id="5"/>
      <w:bookmarkEnd w:id="6"/>
      <w:bookmarkStart w:id="10" w:name="_Toc20039"/>
      <w:bookmarkStart w:id="11" w:name="_Toc6092"/>
      <w:bookmarkStart w:id="12" w:name="_Toc24782"/>
      <w:bookmarkStart w:id="13" w:name="_Toc480"/>
      <w:r>
        <w:rPr>
          <w:rFonts w:hint="eastAsia" w:ascii="华文中宋" w:hAnsi="华文中宋" w:eastAsia="华文中宋" w:cs="华文中宋"/>
          <w:b/>
          <w:color w:val="000000" w:themeColor="text1"/>
          <w:spacing w:val="-6"/>
          <w:kern w:val="84"/>
          <w:sz w:val="72"/>
          <w:szCs w:val="72"/>
          <w14:textFill>
            <w14:solidFill>
              <w14:schemeClr w14:val="tx1"/>
            </w14:solidFill>
          </w14:textFill>
        </w:rPr>
        <w:t>规划</w:t>
      </w:r>
      <w:bookmarkEnd w:id="7"/>
      <w:bookmarkEnd w:id="8"/>
      <w:bookmarkEnd w:id="9"/>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方正小标宋简体" w:cs="方正小标宋简体"/>
          <w:color w:val="000000" w:themeColor="text1"/>
          <w:spacing w:val="-6"/>
          <w:kern w:val="84"/>
          <w:sz w:val="60"/>
          <w:szCs w:val="60"/>
          <w14:textFill>
            <w14:solidFill>
              <w14:schemeClr w14:val="tx1"/>
            </w14:solidFill>
          </w14:textFill>
        </w:rPr>
      </w:pPr>
    </w:p>
    <w:bookmarkEnd w:id="10"/>
    <w:bookmarkEnd w:id="11"/>
    <w:bookmarkEnd w:id="12"/>
    <w:bookmarkEnd w:id="13"/>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sz w:val="28"/>
          <w:szCs w:val="28"/>
          <w14:textFill>
            <w14:solidFill>
              <w14:schemeClr w14:val="tx1"/>
            </w14:solidFill>
          </w14:textFill>
        </w:rPr>
      </w:pPr>
    </w:p>
    <w:p>
      <w:pPr>
        <w:pStyle w:val="2"/>
        <w:pageBreakBefore w:val="0"/>
        <w:kinsoku/>
        <w:wordWrap/>
        <w:overflowPunct/>
        <w:topLinePunct w:val="0"/>
        <w:autoSpaceDE/>
        <w:autoSpaceDN/>
        <w:bidi w:val="0"/>
        <w:spacing w:line="540" w:lineRule="exact"/>
        <w:ind w:left="0" w:leftChars="0" w:firstLine="0" w:firstLineChars="0"/>
        <w:rPr>
          <w:color w:val="000000" w:themeColor="text1"/>
          <w:sz w:val="28"/>
          <w:szCs w:val="28"/>
          <w14:textFill>
            <w14:solidFill>
              <w14:schemeClr w14:val="tx1"/>
            </w14:solidFill>
          </w14:textFill>
        </w:rPr>
      </w:pPr>
    </w:p>
    <w:p>
      <w:pPr>
        <w:pStyle w:val="2"/>
        <w:pageBreakBefore w:val="0"/>
        <w:kinsoku/>
        <w:wordWrap/>
        <w:overflowPunct/>
        <w:topLinePunct w:val="0"/>
        <w:autoSpaceDE/>
        <w:autoSpaceDN/>
        <w:bidi w:val="0"/>
        <w:spacing w:line="540" w:lineRule="exact"/>
        <w:ind w:left="0" w:leftChars="0" w:firstLine="0" w:firstLineChars="0"/>
        <w:rPr>
          <w:color w:val="000000" w:themeColor="text1"/>
          <w:sz w:val="28"/>
          <w:szCs w:val="28"/>
          <w14:textFill>
            <w14:solidFill>
              <w14:schemeClr w14:val="tx1"/>
            </w14:solidFill>
          </w14:textFill>
        </w:rPr>
      </w:pPr>
    </w:p>
    <w:p>
      <w:pPr>
        <w:pStyle w:val="2"/>
        <w:pageBreakBefore w:val="0"/>
        <w:kinsoku/>
        <w:wordWrap/>
        <w:overflowPunct/>
        <w:topLinePunct w:val="0"/>
        <w:autoSpaceDE/>
        <w:autoSpaceDN/>
        <w:bidi w:val="0"/>
        <w:spacing w:line="540" w:lineRule="exact"/>
        <w:rPr>
          <w:color w:val="000000" w:themeColor="text1"/>
          <w:sz w:val="28"/>
          <w:szCs w:val="28"/>
          <w14:textFill>
            <w14:solidFill>
              <w14:schemeClr w14:val="tx1"/>
            </w14:solidFill>
          </w14:textFill>
        </w:rPr>
      </w:pPr>
    </w:p>
    <w:p>
      <w:pPr>
        <w:pStyle w:val="2"/>
        <w:pageBreakBefore w:val="0"/>
        <w:kinsoku/>
        <w:wordWrap/>
        <w:overflowPunct/>
        <w:topLinePunct w:val="0"/>
        <w:autoSpaceDE/>
        <w:autoSpaceDN/>
        <w:bidi w:val="0"/>
        <w:spacing w:line="540" w:lineRule="exact"/>
        <w:rPr>
          <w:color w:val="000000" w:themeColor="text1"/>
          <w:sz w:val="28"/>
          <w:szCs w:val="28"/>
          <w14:textFill>
            <w14:solidFill>
              <w14:schemeClr w14:val="tx1"/>
            </w14:solidFill>
          </w14:textFill>
        </w:rPr>
      </w:pPr>
    </w:p>
    <w:p>
      <w:pPr>
        <w:pStyle w:val="2"/>
        <w:pageBreakBefore w:val="0"/>
        <w:kinsoku/>
        <w:wordWrap/>
        <w:overflowPunct/>
        <w:topLinePunct w:val="0"/>
        <w:autoSpaceDE/>
        <w:autoSpaceDN/>
        <w:bidi w:val="0"/>
        <w:spacing w:line="540" w:lineRule="exact"/>
        <w:rPr>
          <w:color w:val="000000" w:themeColor="text1"/>
          <w:sz w:val="28"/>
          <w:szCs w:val="28"/>
          <w14:textFill>
            <w14:solidFill>
              <w14:schemeClr w14:val="tx1"/>
            </w14:solidFill>
          </w14:textFill>
        </w:rPr>
      </w:pPr>
    </w:p>
    <w:p>
      <w:pPr>
        <w:pStyle w:val="2"/>
        <w:pageBreakBefore w:val="0"/>
        <w:kinsoku/>
        <w:wordWrap/>
        <w:overflowPunct/>
        <w:topLinePunct w:val="0"/>
        <w:autoSpaceDE/>
        <w:autoSpaceDN/>
        <w:bidi w:val="0"/>
        <w:spacing w:line="540" w:lineRule="exact"/>
        <w:rPr>
          <w:color w:val="000000" w:themeColor="text1"/>
          <w:sz w:val="28"/>
          <w:szCs w:val="28"/>
          <w14:textFill>
            <w14:solidFill>
              <w14:schemeClr w14:val="tx1"/>
            </w14:solidFill>
          </w14:textFill>
        </w:rPr>
      </w:pPr>
    </w:p>
    <w:p>
      <w:pPr>
        <w:pStyle w:val="2"/>
        <w:pageBreakBefore w:val="0"/>
        <w:kinsoku/>
        <w:wordWrap/>
        <w:overflowPunct/>
        <w:topLinePunct w:val="0"/>
        <w:autoSpaceDE/>
        <w:autoSpaceDN/>
        <w:bidi w:val="0"/>
        <w:spacing w:line="540" w:lineRule="exact"/>
        <w:rPr>
          <w:color w:val="000000" w:themeColor="text1"/>
          <w:sz w:val="28"/>
          <w:szCs w:val="28"/>
          <w14:textFill>
            <w14:solidFill>
              <w14:schemeClr w14:val="tx1"/>
            </w14:solidFill>
          </w14:textFill>
        </w:rPr>
      </w:pPr>
    </w:p>
    <w:p>
      <w:pPr>
        <w:pStyle w:val="2"/>
        <w:pageBreakBefore w:val="0"/>
        <w:kinsoku/>
        <w:wordWrap/>
        <w:overflowPunct/>
        <w:topLinePunct w:val="0"/>
        <w:autoSpaceDE/>
        <w:autoSpaceDN/>
        <w:bidi w:val="0"/>
        <w:spacing w:line="540" w:lineRule="exact"/>
        <w:rPr>
          <w:color w:val="000000" w:themeColor="text1"/>
          <w:sz w:val="28"/>
          <w:szCs w:val="28"/>
          <w14:textFill>
            <w14:solidFill>
              <w14:schemeClr w14:val="tx1"/>
            </w14:solidFill>
          </w14:textFill>
        </w:rPr>
      </w:pPr>
    </w:p>
    <w:p>
      <w:pPr>
        <w:pStyle w:val="2"/>
        <w:pageBreakBefore w:val="0"/>
        <w:kinsoku/>
        <w:wordWrap/>
        <w:overflowPunct/>
        <w:topLinePunct w:val="0"/>
        <w:autoSpaceDE/>
        <w:autoSpaceDN/>
        <w:bidi w:val="0"/>
        <w:spacing w:line="540" w:lineRule="exact"/>
        <w:rPr>
          <w:color w:val="000000" w:themeColor="text1"/>
          <w:sz w:val="28"/>
          <w:szCs w:val="28"/>
          <w14:textFill>
            <w14:solidFill>
              <w14:schemeClr w14:val="tx1"/>
            </w14:solidFill>
          </w14:textFill>
        </w:rPr>
      </w:pPr>
    </w:p>
    <w:p>
      <w:pPr>
        <w:pStyle w:val="2"/>
        <w:pageBreakBefore w:val="0"/>
        <w:kinsoku/>
        <w:wordWrap/>
        <w:overflowPunct/>
        <w:topLinePunct w:val="0"/>
        <w:autoSpaceDE/>
        <w:autoSpaceDN/>
        <w:bidi w:val="0"/>
        <w:spacing w:line="540" w:lineRule="exact"/>
        <w:rPr>
          <w:color w:val="000000" w:themeColor="text1"/>
          <w:sz w:val="28"/>
          <w:szCs w:val="28"/>
          <w14:textFill>
            <w14:solidFill>
              <w14:schemeClr w14:val="tx1"/>
            </w14:solidFill>
          </w14:textFill>
        </w:rPr>
      </w:pPr>
    </w:p>
    <w:p>
      <w:pPr>
        <w:pStyle w:val="25"/>
        <w:pageBreakBefore w:val="0"/>
        <w:kinsoku/>
        <w:wordWrap/>
        <w:overflowPunct/>
        <w:topLinePunct w:val="0"/>
        <w:autoSpaceDE/>
        <w:autoSpaceDN/>
        <w:bidi w:val="0"/>
        <w:spacing w:line="540" w:lineRule="exact"/>
        <w:ind w:firstLine="382"/>
        <w:jc w:val="center"/>
        <w:rPr>
          <w:rFonts w:ascii="黑体" w:hAnsi="黑体" w:eastAsia="黑体" w:cs="黑体"/>
          <w:color w:val="000000" w:themeColor="text1"/>
          <w:spacing w:val="11"/>
          <w:kern w:val="84"/>
          <w:sz w:val="36"/>
          <w:szCs w:val="36"/>
          <w14:textFill>
            <w14:solidFill>
              <w14:schemeClr w14:val="tx1"/>
            </w14:solidFill>
          </w14:textFill>
        </w:rPr>
      </w:pPr>
      <w:r>
        <w:rPr>
          <w:rFonts w:hint="eastAsia" w:ascii="黑体" w:hAnsi="黑体" w:eastAsia="黑体" w:cs="黑体"/>
          <w:color w:val="000000" w:themeColor="text1"/>
          <w:spacing w:val="11"/>
          <w:kern w:val="84"/>
          <w:sz w:val="36"/>
          <w:szCs w:val="36"/>
          <w14:textFill>
            <w14:solidFill>
              <w14:schemeClr w14:val="tx1"/>
            </w14:solidFill>
          </w14:textFill>
        </w:rPr>
        <w:t>2022年</w:t>
      </w:r>
      <w:r>
        <w:rPr>
          <w:rFonts w:hint="eastAsia" w:ascii="黑体" w:hAnsi="黑体" w:eastAsia="黑体" w:cs="黑体"/>
          <w:color w:val="000000" w:themeColor="text1"/>
          <w:spacing w:val="11"/>
          <w:kern w:val="84"/>
          <w:sz w:val="36"/>
          <w:szCs w:val="36"/>
          <w:lang w:val="en-US" w:eastAsia="zh-CN"/>
          <w14:textFill>
            <w14:solidFill>
              <w14:schemeClr w14:val="tx1"/>
            </w14:solidFill>
          </w14:textFill>
        </w:rPr>
        <w:t xml:space="preserve">  </w:t>
      </w:r>
      <w:r>
        <w:rPr>
          <w:rFonts w:hint="eastAsia" w:ascii="黑体" w:hAnsi="黑体" w:eastAsia="黑体" w:cs="黑体"/>
          <w:color w:val="000000" w:themeColor="text1"/>
          <w:spacing w:val="11"/>
          <w:kern w:val="84"/>
          <w:sz w:val="36"/>
          <w:szCs w:val="36"/>
          <w14:textFill>
            <w14:solidFill>
              <w14:schemeClr w14:val="tx1"/>
            </w14:solidFill>
          </w14:textFill>
        </w:rPr>
        <w:t>月</w:t>
      </w:r>
    </w:p>
    <w:p>
      <w:pPr>
        <w:pStyle w:val="2"/>
        <w:pageBreakBefore w:val="0"/>
        <w:kinsoku/>
        <w:wordWrap/>
        <w:overflowPunct/>
        <w:topLinePunct w:val="0"/>
        <w:autoSpaceDE/>
        <w:autoSpaceDN/>
        <w:bidi w:val="0"/>
        <w:spacing w:line="540" w:lineRule="exact"/>
        <w:rPr>
          <w:color w:val="000000" w:themeColor="text1"/>
          <w:sz w:val="28"/>
          <w:szCs w:val="28"/>
          <w14:textFill>
            <w14:solidFill>
              <w14:schemeClr w14:val="tx1"/>
            </w14:solidFill>
          </w14:textFill>
        </w:rPr>
      </w:pPr>
    </w:p>
    <w:p>
      <w:pPr>
        <w:pStyle w:val="25"/>
        <w:pageBreakBefore w:val="0"/>
        <w:widowControl w:val="0"/>
        <w:kinsoku/>
        <w:wordWrap/>
        <w:overflowPunct/>
        <w:topLinePunct w:val="0"/>
        <w:autoSpaceDE/>
        <w:autoSpaceDN/>
        <w:bidi w:val="0"/>
        <w:spacing w:after="0" w:line="540" w:lineRule="exact"/>
        <w:ind w:firstLine="462"/>
        <w:jc w:val="center"/>
        <w:rPr>
          <w:rFonts w:ascii="仿宋" w:hAnsi="仿宋" w:eastAsia="仿宋" w:cs="仿宋"/>
          <w:color w:val="000000" w:themeColor="text1"/>
          <w:spacing w:val="11"/>
          <w:kern w:val="84"/>
          <w:sz w:val="44"/>
          <w:szCs w:val="44"/>
          <w14:textFill>
            <w14:solidFill>
              <w14:schemeClr w14:val="tx1"/>
            </w14:solidFill>
          </w14:textFill>
        </w:rPr>
        <w:sectPr>
          <w:footerReference r:id="rId3" w:type="default"/>
          <w:pgSz w:w="11910" w:h="16840"/>
          <w:pgMar w:top="1580" w:right="1420" w:bottom="1960" w:left="1480" w:header="0" w:footer="1777" w:gutter="0"/>
          <w:pgNumType w:start="1"/>
          <w:cols w:space="720" w:num="1"/>
        </w:sectPr>
      </w:pPr>
    </w:p>
    <w:p>
      <w:pPr>
        <w:pStyle w:val="25"/>
        <w:keepNext w:val="0"/>
        <w:keepLines w:val="0"/>
        <w:pageBreakBefore w:val="0"/>
        <w:widowControl w:val="0"/>
        <w:kinsoku/>
        <w:wordWrap/>
        <w:overflowPunct/>
        <w:topLinePunct w:val="0"/>
        <w:autoSpaceDE/>
        <w:autoSpaceDN/>
        <w:bidi w:val="0"/>
        <w:spacing w:after="0" w:line="540" w:lineRule="exact"/>
        <w:ind w:firstLine="462"/>
        <w:jc w:val="center"/>
        <w:textAlignment w:val="auto"/>
        <w:rPr>
          <w:rFonts w:ascii="仿宋" w:hAnsi="仿宋" w:eastAsia="仿宋" w:cs="仿宋"/>
          <w:color w:val="000000" w:themeColor="text1"/>
          <w:spacing w:val="11"/>
          <w:kern w:val="84"/>
          <w:sz w:val="44"/>
          <w:szCs w:val="44"/>
          <w14:textFill>
            <w14:solidFill>
              <w14:schemeClr w14:val="tx1"/>
            </w14:solidFill>
          </w14:textFill>
        </w:rPr>
      </w:pPr>
      <w:r>
        <w:rPr>
          <w:rFonts w:hint="eastAsia" w:ascii="仿宋" w:hAnsi="仿宋" w:eastAsia="仿宋" w:cs="仿宋"/>
          <w:color w:val="000000" w:themeColor="text1"/>
          <w:spacing w:val="11"/>
          <w:kern w:val="84"/>
          <w:sz w:val="44"/>
          <w:szCs w:val="44"/>
          <w14:textFill>
            <w14:solidFill>
              <w14:schemeClr w14:val="tx1"/>
            </w14:solidFill>
          </w14:textFill>
        </w:rPr>
        <w:t>目    录</w:t>
      </w:r>
    </w:p>
    <w:p>
      <w:pPr>
        <w:pStyle w:val="11"/>
        <w:keepNext w:val="0"/>
        <w:keepLines w:val="0"/>
        <w:pageBreakBefore w:val="0"/>
        <w:widowControl w:val="0"/>
        <w:tabs>
          <w:tab w:val="right" w:leader="dot" w:pos="9010"/>
        </w:tabs>
        <w:kinsoku/>
        <w:wordWrap/>
        <w:overflowPunct/>
        <w:topLinePunct w:val="0"/>
        <w:autoSpaceDE/>
        <w:autoSpaceDN/>
        <w:bidi w:val="0"/>
        <w:spacing w:line="540" w:lineRule="exact"/>
        <w:textAlignment w:val="auto"/>
      </w:pPr>
      <w:r>
        <w:rPr>
          <w:rFonts w:hint="eastAsia"/>
          <w:sz w:val="28"/>
          <w:szCs w:val="28"/>
        </w:rPr>
        <w:fldChar w:fldCharType="begin"/>
      </w:r>
      <w:r>
        <w:rPr>
          <w:rFonts w:hint="eastAsia"/>
          <w:sz w:val="28"/>
          <w:szCs w:val="28"/>
        </w:rPr>
        <w:instrText xml:space="preserve">TOC \o "1-2" \h \u </w:instrText>
      </w:r>
      <w:r>
        <w:rPr>
          <w:rFonts w:hint="eastAsia"/>
          <w:sz w:val="28"/>
          <w:szCs w:val="28"/>
        </w:rPr>
        <w:fldChar w:fldCharType="separate"/>
      </w:r>
    </w:p>
    <w:p>
      <w:pPr>
        <w:pStyle w:val="38"/>
        <w:keepNext w:val="0"/>
        <w:keepLines w:val="0"/>
        <w:pageBreakBefore w:val="0"/>
        <w:widowControl w:val="0"/>
        <w:kinsoku/>
        <w:wordWrap/>
        <w:overflowPunct/>
        <w:topLinePunct w:val="0"/>
        <w:autoSpaceDE/>
        <w:autoSpaceDN/>
        <w:bidi w:val="0"/>
        <w:spacing w:line="540" w:lineRule="exact"/>
        <w:textAlignment w:val="auto"/>
        <w:rPr>
          <w:rFonts w:hint="default" w:ascii="黑体" w:hAnsi="黑体" w:cs="黑体"/>
          <w:szCs w:val="32"/>
        </w:rPr>
      </w:pPr>
      <w:r>
        <w:fldChar w:fldCharType="begin"/>
      </w:r>
      <w:r>
        <w:instrText xml:space="preserve"> HYPERLINK \l "_Toc23288" </w:instrText>
      </w:r>
      <w:r>
        <w:fldChar w:fldCharType="separate"/>
      </w:r>
      <w:r>
        <w:rPr>
          <w:rFonts w:ascii="黑体" w:hAnsi="黑体" w:cs="黑体"/>
          <w:szCs w:val="32"/>
        </w:rPr>
        <w:t>一、开启驻马店教育现代化新征程</w:t>
      </w:r>
      <w:r>
        <w:rPr>
          <w:rFonts w:ascii="黑体" w:hAnsi="黑体" w:cs="黑体"/>
          <w:szCs w:val="32"/>
        </w:rPr>
        <w:tab/>
      </w:r>
      <w:r>
        <w:rPr>
          <w:rFonts w:ascii="黑体" w:hAnsi="黑体" w:cs="黑体"/>
          <w:szCs w:val="32"/>
        </w:rPr>
        <w:fldChar w:fldCharType="begin"/>
      </w:r>
      <w:r>
        <w:rPr>
          <w:rFonts w:ascii="黑体" w:hAnsi="黑体" w:cs="黑体"/>
          <w:szCs w:val="32"/>
        </w:rPr>
        <w:instrText xml:space="preserve"> PAGEREF _Toc23288 \h </w:instrText>
      </w:r>
      <w:r>
        <w:rPr>
          <w:rFonts w:ascii="黑体" w:hAnsi="黑体" w:cs="黑体"/>
          <w:szCs w:val="32"/>
        </w:rPr>
        <w:fldChar w:fldCharType="separate"/>
      </w:r>
      <w:r>
        <w:rPr>
          <w:rFonts w:ascii="黑体" w:hAnsi="黑体" w:cs="黑体"/>
          <w:szCs w:val="32"/>
        </w:rPr>
        <w:t>1</w:t>
      </w:r>
      <w:r>
        <w:rPr>
          <w:rFonts w:ascii="黑体" w:hAnsi="黑体" w:cs="黑体"/>
          <w:szCs w:val="32"/>
        </w:rPr>
        <w:fldChar w:fldCharType="end"/>
      </w:r>
      <w:r>
        <w:rPr>
          <w:rFonts w:ascii="黑体" w:hAnsi="黑体" w:cs="黑体"/>
          <w:szCs w:val="32"/>
        </w:rPr>
        <w:fldChar w:fldCharType="end"/>
      </w:r>
    </w:p>
    <w:p>
      <w:pPr>
        <w:pStyle w:val="13"/>
        <w:keepNext w:val="0"/>
        <w:keepLines w:val="0"/>
        <w:pageBreakBefore w:val="0"/>
        <w:widowControl w:val="0"/>
        <w:tabs>
          <w:tab w:val="right" w:leader="dot" w:pos="9010"/>
        </w:tabs>
        <w:kinsoku/>
        <w:wordWrap/>
        <w:overflowPunct/>
        <w:topLinePunct w:val="0"/>
        <w:autoSpaceDE/>
        <w:autoSpaceDN/>
        <w:bidi w:val="0"/>
        <w:spacing w:line="540" w:lineRule="exact"/>
        <w:textAlignment w:val="auto"/>
        <w:rPr>
          <w:rFonts w:ascii="楷体" w:hAnsi="楷体" w:eastAsia="楷体" w:cs="楷体"/>
          <w:sz w:val="30"/>
          <w:szCs w:val="30"/>
        </w:rPr>
      </w:pPr>
      <w:r>
        <w:fldChar w:fldCharType="begin"/>
      </w:r>
      <w:r>
        <w:instrText xml:space="preserve"> HYPERLINK \l "_Toc19931" </w:instrText>
      </w:r>
      <w:r>
        <w:fldChar w:fldCharType="separate"/>
      </w:r>
      <w:r>
        <w:rPr>
          <w:rFonts w:hint="eastAsia" w:ascii="楷体" w:hAnsi="楷体" w:eastAsia="楷体" w:cs="楷体"/>
          <w:bCs/>
          <w:sz w:val="30"/>
          <w:szCs w:val="30"/>
        </w:rPr>
        <w:t>（一）发展基础和环境</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_Toc19931 \h </w:instrText>
      </w:r>
      <w:r>
        <w:rPr>
          <w:rFonts w:hint="eastAsia" w:ascii="楷体" w:hAnsi="楷体" w:eastAsia="楷体" w:cs="楷体"/>
          <w:sz w:val="30"/>
          <w:szCs w:val="30"/>
        </w:rPr>
        <w:fldChar w:fldCharType="separate"/>
      </w:r>
      <w:r>
        <w:rPr>
          <w:rFonts w:hint="eastAsia" w:ascii="楷体" w:hAnsi="楷体" w:eastAsia="楷体" w:cs="楷体"/>
          <w:sz w:val="30"/>
          <w:szCs w:val="30"/>
        </w:rPr>
        <w:t>1</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3"/>
        <w:keepNext w:val="0"/>
        <w:keepLines w:val="0"/>
        <w:pageBreakBefore w:val="0"/>
        <w:widowControl w:val="0"/>
        <w:tabs>
          <w:tab w:val="right" w:leader="dot" w:pos="9010"/>
        </w:tabs>
        <w:kinsoku/>
        <w:wordWrap/>
        <w:overflowPunct/>
        <w:topLinePunct w:val="0"/>
        <w:autoSpaceDE/>
        <w:autoSpaceDN/>
        <w:bidi w:val="0"/>
        <w:spacing w:line="540" w:lineRule="exact"/>
        <w:textAlignment w:val="auto"/>
        <w:rPr>
          <w:rFonts w:ascii="楷体" w:hAnsi="楷体" w:eastAsia="楷体" w:cs="楷体"/>
          <w:sz w:val="30"/>
          <w:szCs w:val="30"/>
        </w:rPr>
      </w:pPr>
      <w:r>
        <w:fldChar w:fldCharType="begin"/>
      </w:r>
      <w:r>
        <w:instrText xml:space="preserve"> HYPERLINK \l "_Toc10732" </w:instrText>
      </w:r>
      <w:r>
        <w:fldChar w:fldCharType="separate"/>
      </w:r>
      <w:r>
        <w:rPr>
          <w:rFonts w:hint="eastAsia" w:ascii="楷体" w:hAnsi="楷体" w:eastAsia="楷体" w:cs="楷体"/>
          <w:bCs/>
          <w:sz w:val="30"/>
          <w:szCs w:val="30"/>
        </w:rPr>
        <w:t>（二）指导思想</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_Toc10732 \h </w:instrText>
      </w:r>
      <w:r>
        <w:rPr>
          <w:rFonts w:hint="eastAsia" w:ascii="楷体" w:hAnsi="楷体" w:eastAsia="楷体" w:cs="楷体"/>
          <w:sz w:val="30"/>
          <w:szCs w:val="30"/>
        </w:rPr>
        <w:fldChar w:fldCharType="separate"/>
      </w:r>
      <w:r>
        <w:rPr>
          <w:rFonts w:hint="eastAsia" w:ascii="楷体" w:hAnsi="楷体" w:eastAsia="楷体" w:cs="楷体"/>
          <w:sz w:val="30"/>
          <w:szCs w:val="30"/>
        </w:rPr>
        <w:t>8</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3"/>
        <w:keepNext w:val="0"/>
        <w:keepLines w:val="0"/>
        <w:pageBreakBefore w:val="0"/>
        <w:widowControl w:val="0"/>
        <w:tabs>
          <w:tab w:val="right" w:leader="dot" w:pos="9010"/>
        </w:tabs>
        <w:kinsoku/>
        <w:wordWrap/>
        <w:overflowPunct/>
        <w:topLinePunct w:val="0"/>
        <w:autoSpaceDE/>
        <w:autoSpaceDN/>
        <w:bidi w:val="0"/>
        <w:spacing w:line="540" w:lineRule="exact"/>
        <w:textAlignment w:val="auto"/>
        <w:rPr>
          <w:rFonts w:ascii="楷体" w:hAnsi="楷体" w:eastAsia="楷体" w:cs="楷体"/>
          <w:sz w:val="30"/>
          <w:szCs w:val="30"/>
        </w:rPr>
      </w:pPr>
      <w:r>
        <w:fldChar w:fldCharType="begin"/>
      </w:r>
      <w:r>
        <w:instrText xml:space="preserve"> HYPERLINK \l "_Toc11387" </w:instrText>
      </w:r>
      <w:r>
        <w:fldChar w:fldCharType="separate"/>
      </w:r>
      <w:r>
        <w:rPr>
          <w:rFonts w:hint="eastAsia" w:ascii="楷体" w:hAnsi="楷体" w:eastAsia="楷体" w:cs="楷体"/>
          <w:bCs/>
          <w:sz w:val="30"/>
          <w:szCs w:val="30"/>
        </w:rPr>
        <w:t>（三）基本原则</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_Toc11387 \h </w:instrText>
      </w:r>
      <w:r>
        <w:rPr>
          <w:rFonts w:hint="eastAsia" w:ascii="楷体" w:hAnsi="楷体" w:eastAsia="楷体" w:cs="楷体"/>
          <w:sz w:val="30"/>
          <w:szCs w:val="30"/>
        </w:rPr>
        <w:fldChar w:fldCharType="separate"/>
      </w:r>
      <w:r>
        <w:rPr>
          <w:rFonts w:hint="eastAsia" w:ascii="楷体" w:hAnsi="楷体" w:eastAsia="楷体" w:cs="楷体"/>
          <w:sz w:val="30"/>
          <w:szCs w:val="30"/>
        </w:rPr>
        <w:t>8</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3"/>
        <w:keepNext w:val="0"/>
        <w:keepLines w:val="0"/>
        <w:pageBreakBefore w:val="0"/>
        <w:widowControl w:val="0"/>
        <w:tabs>
          <w:tab w:val="right" w:leader="dot" w:pos="9010"/>
        </w:tabs>
        <w:kinsoku/>
        <w:wordWrap/>
        <w:overflowPunct/>
        <w:topLinePunct w:val="0"/>
        <w:autoSpaceDE/>
        <w:autoSpaceDN/>
        <w:bidi w:val="0"/>
        <w:spacing w:line="540" w:lineRule="exact"/>
        <w:textAlignment w:val="auto"/>
        <w:rPr>
          <w:rFonts w:ascii="楷体" w:hAnsi="楷体" w:eastAsia="楷体" w:cs="楷体"/>
          <w:sz w:val="30"/>
          <w:szCs w:val="30"/>
        </w:rPr>
      </w:pPr>
      <w:r>
        <w:fldChar w:fldCharType="begin"/>
      </w:r>
      <w:r>
        <w:instrText xml:space="preserve"> HYPERLINK \l "_Toc8104" </w:instrText>
      </w:r>
      <w:r>
        <w:fldChar w:fldCharType="separate"/>
      </w:r>
      <w:r>
        <w:rPr>
          <w:rFonts w:hint="eastAsia" w:ascii="楷体" w:hAnsi="楷体" w:eastAsia="楷体" w:cs="楷体"/>
          <w:bCs/>
          <w:sz w:val="30"/>
          <w:szCs w:val="30"/>
        </w:rPr>
        <w:t>（四）主要目标</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_Toc8104 \h </w:instrText>
      </w:r>
      <w:r>
        <w:rPr>
          <w:rFonts w:hint="eastAsia" w:ascii="楷体" w:hAnsi="楷体" w:eastAsia="楷体" w:cs="楷体"/>
          <w:sz w:val="30"/>
          <w:szCs w:val="30"/>
        </w:rPr>
        <w:fldChar w:fldCharType="separate"/>
      </w:r>
      <w:r>
        <w:rPr>
          <w:rFonts w:hint="eastAsia" w:ascii="楷体" w:hAnsi="楷体" w:eastAsia="楷体" w:cs="楷体"/>
          <w:sz w:val="30"/>
          <w:szCs w:val="30"/>
        </w:rPr>
        <w:t>9</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38"/>
        <w:keepNext w:val="0"/>
        <w:keepLines w:val="0"/>
        <w:pageBreakBefore w:val="0"/>
        <w:widowControl w:val="0"/>
        <w:kinsoku/>
        <w:wordWrap/>
        <w:overflowPunct/>
        <w:topLinePunct w:val="0"/>
        <w:autoSpaceDE/>
        <w:autoSpaceDN/>
        <w:bidi w:val="0"/>
        <w:spacing w:line="540" w:lineRule="exact"/>
        <w:textAlignment w:val="auto"/>
        <w:rPr>
          <w:rFonts w:hint="default" w:ascii="楷体" w:hAnsi="楷体" w:eastAsia="楷体" w:cs="楷体"/>
          <w:sz w:val="30"/>
          <w:szCs w:val="30"/>
        </w:rPr>
      </w:pPr>
      <w:r>
        <w:fldChar w:fldCharType="begin"/>
      </w:r>
      <w:r>
        <w:instrText xml:space="preserve"> HYPERLINK \l "_Toc27781" </w:instrText>
      </w:r>
      <w:r>
        <w:fldChar w:fldCharType="separate"/>
      </w:r>
      <w:r>
        <w:rPr>
          <w:rFonts w:ascii="黑体" w:hAnsi="黑体" w:cs="黑体"/>
          <w:szCs w:val="32"/>
        </w:rPr>
        <w:t>二、全面落实立德树人根本任务</w:t>
      </w:r>
      <w:r>
        <w:rPr>
          <w:rFonts w:ascii="楷体" w:hAnsi="楷体" w:eastAsia="楷体" w:cs="楷体"/>
          <w:sz w:val="30"/>
          <w:szCs w:val="30"/>
        </w:rPr>
        <w:tab/>
      </w:r>
      <w:r>
        <w:rPr>
          <w:rFonts w:ascii="楷体" w:hAnsi="楷体" w:eastAsia="楷体" w:cs="楷体"/>
          <w:sz w:val="30"/>
          <w:szCs w:val="30"/>
        </w:rPr>
        <w:fldChar w:fldCharType="begin"/>
      </w:r>
      <w:r>
        <w:rPr>
          <w:rFonts w:ascii="楷体" w:hAnsi="楷体" w:eastAsia="楷体" w:cs="楷体"/>
          <w:sz w:val="30"/>
          <w:szCs w:val="30"/>
        </w:rPr>
        <w:instrText xml:space="preserve"> PAGEREF _Toc27781 \h </w:instrText>
      </w:r>
      <w:r>
        <w:rPr>
          <w:rFonts w:ascii="楷体" w:hAnsi="楷体" w:eastAsia="楷体" w:cs="楷体"/>
          <w:sz w:val="30"/>
          <w:szCs w:val="30"/>
        </w:rPr>
        <w:fldChar w:fldCharType="separate"/>
      </w:r>
      <w:r>
        <w:rPr>
          <w:rFonts w:ascii="楷体" w:hAnsi="楷体" w:eastAsia="楷体" w:cs="楷体"/>
          <w:sz w:val="30"/>
          <w:szCs w:val="30"/>
        </w:rPr>
        <w:t>12</w:t>
      </w:r>
      <w:r>
        <w:rPr>
          <w:rFonts w:ascii="楷体" w:hAnsi="楷体" w:eastAsia="楷体" w:cs="楷体"/>
          <w:sz w:val="30"/>
          <w:szCs w:val="30"/>
        </w:rPr>
        <w:fldChar w:fldCharType="end"/>
      </w:r>
      <w:r>
        <w:rPr>
          <w:rFonts w:ascii="楷体" w:hAnsi="楷体" w:eastAsia="楷体" w:cs="楷体"/>
          <w:sz w:val="30"/>
          <w:szCs w:val="30"/>
        </w:rPr>
        <w:fldChar w:fldCharType="end"/>
      </w:r>
    </w:p>
    <w:p>
      <w:pPr>
        <w:pStyle w:val="13"/>
        <w:keepNext w:val="0"/>
        <w:keepLines w:val="0"/>
        <w:pageBreakBefore w:val="0"/>
        <w:widowControl w:val="0"/>
        <w:tabs>
          <w:tab w:val="right" w:leader="dot" w:pos="9010"/>
        </w:tabs>
        <w:kinsoku/>
        <w:wordWrap/>
        <w:overflowPunct/>
        <w:topLinePunct w:val="0"/>
        <w:autoSpaceDE/>
        <w:autoSpaceDN/>
        <w:bidi w:val="0"/>
        <w:spacing w:line="540" w:lineRule="exact"/>
        <w:textAlignment w:val="auto"/>
        <w:rPr>
          <w:rFonts w:ascii="楷体" w:hAnsi="楷体" w:eastAsia="楷体" w:cs="楷体"/>
          <w:sz w:val="30"/>
          <w:szCs w:val="30"/>
        </w:rPr>
      </w:pPr>
      <w:r>
        <w:fldChar w:fldCharType="begin"/>
      </w:r>
      <w:r>
        <w:instrText xml:space="preserve"> HYPERLINK \l "_Toc3567" </w:instrText>
      </w:r>
      <w:r>
        <w:fldChar w:fldCharType="separate"/>
      </w:r>
      <w:r>
        <w:rPr>
          <w:rFonts w:hint="eastAsia" w:ascii="楷体" w:hAnsi="楷体" w:eastAsia="楷体" w:cs="楷体"/>
          <w:bCs/>
          <w:sz w:val="30"/>
          <w:szCs w:val="30"/>
        </w:rPr>
        <w:t>（一）坚持用习近平新时代中国特色社会主义思想铸魂育人</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_Toc3567 \h </w:instrText>
      </w:r>
      <w:r>
        <w:rPr>
          <w:rFonts w:hint="eastAsia" w:ascii="楷体" w:hAnsi="楷体" w:eastAsia="楷体" w:cs="楷体"/>
          <w:sz w:val="30"/>
          <w:szCs w:val="30"/>
        </w:rPr>
        <w:fldChar w:fldCharType="separate"/>
      </w:r>
      <w:r>
        <w:rPr>
          <w:rFonts w:hint="eastAsia" w:ascii="楷体" w:hAnsi="楷体" w:eastAsia="楷体" w:cs="楷体"/>
          <w:sz w:val="30"/>
          <w:szCs w:val="30"/>
        </w:rPr>
        <w:t>13</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3"/>
        <w:keepNext w:val="0"/>
        <w:keepLines w:val="0"/>
        <w:pageBreakBefore w:val="0"/>
        <w:widowControl w:val="0"/>
        <w:tabs>
          <w:tab w:val="right" w:leader="dot" w:pos="9010"/>
        </w:tabs>
        <w:kinsoku/>
        <w:wordWrap/>
        <w:overflowPunct/>
        <w:topLinePunct w:val="0"/>
        <w:autoSpaceDE/>
        <w:autoSpaceDN/>
        <w:bidi w:val="0"/>
        <w:spacing w:line="540" w:lineRule="exact"/>
        <w:textAlignment w:val="auto"/>
        <w:rPr>
          <w:rFonts w:ascii="楷体" w:hAnsi="楷体" w:eastAsia="楷体" w:cs="楷体"/>
          <w:sz w:val="30"/>
          <w:szCs w:val="30"/>
        </w:rPr>
      </w:pPr>
      <w:r>
        <w:fldChar w:fldCharType="begin"/>
      </w:r>
      <w:r>
        <w:instrText xml:space="preserve"> HYPERLINK \l "_Toc24606" </w:instrText>
      </w:r>
      <w:r>
        <w:fldChar w:fldCharType="separate"/>
      </w:r>
      <w:r>
        <w:rPr>
          <w:rFonts w:hint="eastAsia" w:ascii="楷体" w:hAnsi="楷体" w:eastAsia="楷体" w:cs="楷体"/>
          <w:bCs/>
          <w:sz w:val="30"/>
          <w:szCs w:val="30"/>
        </w:rPr>
        <w:t>（二）构建一体化学校德育和思想政治工作新格局</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_Toc24606 \h </w:instrText>
      </w:r>
      <w:r>
        <w:rPr>
          <w:rFonts w:hint="eastAsia" w:ascii="楷体" w:hAnsi="楷体" w:eastAsia="楷体" w:cs="楷体"/>
          <w:sz w:val="30"/>
          <w:szCs w:val="30"/>
        </w:rPr>
        <w:fldChar w:fldCharType="separate"/>
      </w:r>
      <w:r>
        <w:rPr>
          <w:rFonts w:hint="eastAsia" w:ascii="楷体" w:hAnsi="楷体" w:eastAsia="楷体" w:cs="楷体"/>
          <w:sz w:val="30"/>
          <w:szCs w:val="30"/>
        </w:rPr>
        <w:t>13</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3"/>
        <w:keepNext w:val="0"/>
        <w:keepLines w:val="0"/>
        <w:pageBreakBefore w:val="0"/>
        <w:widowControl w:val="0"/>
        <w:tabs>
          <w:tab w:val="right" w:leader="dot" w:pos="9010"/>
        </w:tabs>
        <w:kinsoku/>
        <w:wordWrap/>
        <w:overflowPunct/>
        <w:topLinePunct w:val="0"/>
        <w:autoSpaceDE/>
        <w:autoSpaceDN/>
        <w:bidi w:val="0"/>
        <w:spacing w:line="540" w:lineRule="exact"/>
        <w:textAlignment w:val="auto"/>
        <w:rPr>
          <w:rFonts w:ascii="楷体" w:hAnsi="楷体" w:eastAsia="楷体" w:cs="楷体"/>
          <w:sz w:val="30"/>
          <w:szCs w:val="30"/>
        </w:rPr>
      </w:pPr>
      <w:r>
        <w:fldChar w:fldCharType="begin"/>
      </w:r>
      <w:r>
        <w:instrText xml:space="preserve"> HYPERLINK \l "_Toc6904" </w:instrText>
      </w:r>
      <w:r>
        <w:fldChar w:fldCharType="separate"/>
      </w:r>
      <w:r>
        <w:rPr>
          <w:rFonts w:hint="eastAsia" w:ascii="楷体" w:hAnsi="楷体" w:eastAsia="楷体" w:cs="楷体"/>
          <w:bCs/>
          <w:sz w:val="30"/>
          <w:szCs w:val="30"/>
        </w:rPr>
        <w:t>（三）促进学生综合素质全面提升</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_Toc6904 \h </w:instrText>
      </w:r>
      <w:r>
        <w:rPr>
          <w:rFonts w:hint="eastAsia" w:ascii="楷体" w:hAnsi="楷体" w:eastAsia="楷体" w:cs="楷体"/>
          <w:sz w:val="30"/>
          <w:szCs w:val="30"/>
        </w:rPr>
        <w:fldChar w:fldCharType="separate"/>
      </w:r>
      <w:r>
        <w:rPr>
          <w:rFonts w:hint="eastAsia" w:ascii="楷体" w:hAnsi="楷体" w:eastAsia="楷体" w:cs="楷体"/>
          <w:sz w:val="30"/>
          <w:szCs w:val="30"/>
        </w:rPr>
        <w:t>14</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3"/>
        <w:keepNext w:val="0"/>
        <w:keepLines w:val="0"/>
        <w:pageBreakBefore w:val="0"/>
        <w:widowControl w:val="0"/>
        <w:tabs>
          <w:tab w:val="right" w:leader="dot" w:pos="9010"/>
        </w:tabs>
        <w:kinsoku/>
        <w:wordWrap/>
        <w:overflowPunct/>
        <w:topLinePunct w:val="0"/>
        <w:autoSpaceDE/>
        <w:autoSpaceDN/>
        <w:bidi w:val="0"/>
        <w:spacing w:line="540" w:lineRule="exact"/>
        <w:textAlignment w:val="auto"/>
        <w:rPr>
          <w:rFonts w:ascii="楷体" w:hAnsi="楷体" w:eastAsia="楷体" w:cs="楷体"/>
          <w:sz w:val="30"/>
          <w:szCs w:val="30"/>
        </w:rPr>
      </w:pPr>
      <w:r>
        <w:fldChar w:fldCharType="begin"/>
      </w:r>
      <w:r>
        <w:instrText xml:space="preserve"> HYPERLINK \l "_Toc6180" </w:instrText>
      </w:r>
      <w:r>
        <w:fldChar w:fldCharType="separate"/>
      </w:r>
      <w:r>
        <w:rPr>
          <w:rFonts w:hint="eastAsia" w:ascii="楷体" w:hAnsi="楷体" w:eastAsia="楷体" w:cs="楷体"/>
          <w:bCs/>
          <w:sz w:val="30"/>
          <w:szCs w:val="30"/>
        </w:rPr>
        <w:t>（四）健全家庭学校社会协同育人体系</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_Toc6180 \h </w:instrText>
      </w:r>
      <w:r>
        <w:rPr>
          <w:rFonts w:hint="eastAsia" w:ascii="楷体" w:hAnsi="楷体" w:eastAsia="楷体" w:cs="楷体"/>
          <w:sz w:val="30"/>
          <w:szCs w:val="30"/>
        </w:rPr>
        <w:fldChar w:fldCharType="separate"/>
      </w:r>
      <w:r>
        <w:rPr>
          <w:rFonts w:hint="eastAsia" w:ascii="楷体" w:hAnsi="楷体" w:eastAsia="楷体" w:cs="楷体"/>
          <w:sz w:val="30"/>
          <w:szCs w:val="30"/>
        </w:rPr>
        <w:t>16</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38"/>
        <w:keepNext w:val="0"/>
        <w:keepLines w:val="0"/>
        <w:pageBreakBefore w:val="0"/>
        <w:widowControl w:val="0"/>
        <w:kinsoku/>
        <w:wordWrap/>
        <w:overflowPunct/>
        <w:topLinePunct w:val="0"/>
        <w:autoSpaceDE/>
        <w:autoSpaceDN/>
        <w:bidi w:val="0"/>
        <w:spacing w:line="540" w:lineRule="exact"/>
        <w:textAlignment w:val="auto"/>
        <w:rPr>
          <w:rFonts w:hint="default" w:ascii="楷体" w:hAnsi="楷体" w:eastAsia="楷体" w:cs="楷体"/>
          <w:sz w:val="30"/>
          <w:szCs w:val="30"/>
        </w:rPr>
      </w:pPr>
      <w:r>
        <w:fldChar w:fldCharType="begin"/>
      </w:r>
      <w:r>
        <w:instrText xml:space="preserve"> HYPERLINK \l "_Toc4518" </w:instrText>
      </w:r>
      <w:r>
        <w:fldChar w:fldCharType="separate"/>
      </w:r>
      <w:r>
        <w:rPr>
          <w:rFonts w:ascii="黑体" w:hAnsi="黑体" w:cs="黑体"/>
          <w:szCs w:val="32"/>
        </w:rPr>
        <w:t>三、推进基本公共教育均等化</w:t>
      </w:r>
      <w:r>
        <w:rPr>
          <w:rFonts w:ascii="楷体" w:hAnsi="楷体" w:eastAsia="楷体" w:cs="楷体"/>
          <w:sz w:val="30"/>
          <w:szCs w:val="30"/>
        </w:rPr>
        <w:tab/>
      </w:r>
      <w:r>
        <w:rPr>
          <w:rFonts w:ascii="楷体" w:hAnsi="楷体" w:eastAsia="楷体" w:cs="楷体"/>
          <w:sz w:val="30"/>
          <w:szCs w:val="30"/>
        </w:rPr>
        <w:fldChar w:fldCharType="begin"/>
      </w:r>
      <w:r>
        <w:rPr>
          <w:rFonts w:ascii="楷体" w:hAnsi="楷体" w:eastAsia="楷体" w:cs="楷体"/>
          <w:sz w:val="30"/>
          <w:szCs w:val="30"/>
        </w:rPr>
        <w:instrText xml:space="preserve"> PAGEREF _Toc4518 \h </w:instrText>
      </w:r>
      <w:r>
        <w:rPr>
          <w:rFonts w:ascii="楷体" w:hAnsi="楷体" w:eastAsia="楷体" w:cs="楷体"/>
          <w:sz w:val="30"/>
          <w:szCs w:val="30"/>
        </w:rPr>
        <w:fldChar w:fldCharType="separate"/>
      </w:r>
      <w:r>
        <w:rPr>
          <w:rFonts w:ascii="楷体" w:hAnsi="楷体" w:eastAsia="楷体" w:cs="楷体"/>
          <w:sz w:val="30"/>
          <w:szCs w:val="30"/>
        </w:rPr>
        <w:t>17</w:t>
      </w:r>
      <w:r>
        <w:rPr>
          <w:rFonts w:ascii="楷体" w:hAnsi="楷体" w:eastAsia="楷体" w:cs="楷体"/>
          <w:sz w:val="30"/>
          <w:szCs w:val="30"/>
        </w:rPr>
        <w:fldChar w:fldCharType="end"/>
      </w:r>
      <w:r>
        <w:rPr>
          <w:rFonts w:ascii="楷体" w:hAnsi="楷体" w:eastAsia="楷体" w:cs="楷体"/>
          <w:sz w:val="30"/>
          <w:szCs w:val="30"/>
        </w:rPr>
        <w:fldChar w:fldCharType="end"/>
      </w:r>
    </w:p>
    <w:p>
      <w:pPr>
        <w:pStyle w:val="13"/>
        <w:keepNext w:val="0"/>
        <w:keepLines w:val="0"/>
        <w:pageBreakBefore w:val="0"/>
        <w:widowControl w:val="0"/>
        <w:tabs>
          <w:tab w:val="right" w:leader="dot" w:pos="9010"/>
        </w:tabs>
        <w:kinsoku/>
        <w:wordWrap/>
        <w:overflowPunct/>
        <w:topLinePunct w:val="0"/>
        <w:autoSpaceDE/>
        <w:autoSpaceDN/>
        <w:bidi w:val="0"/>
        <w:spacing w:line="540" w:lineRule="exact"/>
        <w:textAlignment w:val="auto"/>
        <w:rPr>
          <w:rFonts w:ascii="楷体" w:hAnsi="楷体" w:eastAsia="楷体" w:cs="楷体"/>
          <w:sz w:val="30"/>
          <w:szCs w:val="30"/>
        </w:rPr>
      </w:pPr>
      <w:r>
        <w:fldChar w:fldCharType="begin"/>
      </w:r>
      <w:r>
        <w:instrText xml:space="preserve"> HYPERLINK \l "_Toc9088" </w:instrText>
      </w:r>
      <w:r>
        <w:fldChar w:fldCharType="separate"/>
      </w:r>
      <w:r>
        <w:rPr>
          <w:rFonts w:hint="eastAsia" w:ascii="楷体" w:hAnsi="楷体" w:eastAsia="楷体" w:cs="楷体"/>
          <w:bCs/>
          <w:sz w:val="30"/>
          <w:szCs w:val="30"/>
        </w:rPr>
        <w:t>（一）扩大优质普惠学前教育资源供给</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_Toc9088 \h </w:instrText>
      </w:r>
      <w:r>
        <w:rPr>
          <w:rFonts w:hint="eastAsia" w:ascii="楷体" w:hAnsi="楷体" w:eastAsia="楷体" w:cs="楷体"/>
          <w:sz w:val="30"/>
          <w:szCs w:val="30"/>
        </w:rPr>
        <w:fldChar w:fldCharType="separate"/>
      </w:r>
      <w:r>
        <w:rPr>
          <w:rFonts w:hint="eastAsia" w:ascii="楷体" w:hAnsi="楷体" w:eastAsia="楷体" w:cs="楷体"/>
          <w:sz w:val="30"/>
          <w:szCs w:val="30"/>
        </w:rPr>
        <w:t>18</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3"/>
        <w:keepNext w:val="0"/>
        <w:keepLines w:val="0"/>
        <w:pageBreakBefore w:val="0"/>
        <w:widowControl w:val="0"/>
        <w:tabs>
          <w:tab w:val="right" w:leader="dot" w:pos="9010"/>
        </w:tabs>
        <w:kinsoku/>
        <w:wordWrap/>
        <w:overflowPunct/>
        <w:topLinePunct w:val="0"/>
        <w:autoSpaceDE/>
        <w:autoSpaceDN/>
        <w:bidi w:val="0"/>
        <w:spacing w:line="540" w:lineRule="exact"/>
        <w:textAlignment w:val="auto"/>
        <w:rPr>
          <w:rFonts w:ascii="楷体" w:hAnsi="楷体" w:eastAsia="楷体" w:cs="楷体"/>
          <w:sz w:val="30"/>
          <w:szCs w:val="30"/>
        </w:rPr>
      </w:pPr>
      <w:r>
        <w:fldChar w:fldCharType="begin"/>
      </w:r>
      <w:r>
        <w:instrText xml:space="preserve"> HYPERLINK \l "_Toc16005" </w:instrText>
      </w:r>
      <w:r>
        <w:fldChar w:fldCharType="separate"/>
      </w:r>
      <w:r>
        <w:rPr>
          <w:rFonts w:hint="eastAsia" w:ascii="楷体" w:hAnsi="楷体" w:eastAsia="楷体" w:cs="楷体"/>
          <w:bCs/>
          <w:sz w:val="30"/>
          <w:szCs w:val="30"/>
        </w:rPr>
        <w:t>（二）推动义务教育优质均衡发展和城乡一体化</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_Toc16005 \h </w:instrText>
      </w:r>
      <w:r>
        <w:rPr>
          <w:rFonts w:hint="eastAsia" w:ascii="楷体" w:hAnsi="楷体" w:eastAsia="楷体" w:cs="楷体"/>
          <w:sz w:val="30"/>
          <w:szCs w:val="30"/>
        </w:rPr>
        <w:fldChar w:fldCharType="separate"/>
      </w:r>
      <w:r>
        <w:rPr>
          <w:rFonts w:hint="eastAsia" w:ascii="楷体" w:hAnsi="楷体" w:eastAsia="楷体" w:cs="楷体"/>
          <w:sz w:val="30"/>
          <w:szCs w:val="30"/>
        </w:rPr>
        <w:t>19</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3"/>
        <w:keepNext w:val="0"/>
        <w:keepLines w:val="0"/>
        <w:pageBreakBefore w:val="0"/>
        <w:widowControl w:val="0"/>
        <w:tabs>
          <w:tab w:val="right" w:leader="dot" w:pos="9010"/>
        </w:tabs>
        <w:kinsoku/>
        <w:wordWrap/>
        <w:overflowPunct/>
        <w:topLinePunct w:val="0"/>
        <w:autoSpaceDE/>
        <w:autoSpaceDN/>
        <w:bidi w:val="0"/>
        <w:spacing w:line="540" w:lineRule="exact"/>
        <w:textAlignment w:val="auto"/>
        <w:rPr>
          <w:rFonts w:ascii="楷体" w:hAnsi="楷体" w:eastAsia="楷体" w:cs="楷体"/>
          <w:sz w:val="30"/>
          <w:szCs w:val="30"/>
        </w:rPr>
      </w:pPr>
      <w:r>
        <w:fldChar w:fldCharType="begin"/>
      </w:r>
      <w:r>
        <w:instrText xml:space="preserve"> HYPERLINK \l "_Toc22701" </w:instrText>
      </w:r>
      <w:r>
        <w:fldChar w:fldCharType="separate"/>
      </w:r>
      <w:r>
        <w:rPr>
          <w:rFonts w:hint="eastAsia" w:ascii="楷体" w:hAnsi="楷体" w:eastAsia="楷体" w:cs="楷体"/>
          <w:sz w:val="30"/>
          <w:szCs w:val="30"/>
        </w:rPr>
        <w:t>（三）鼓励高中阶段学校多样化特色发展</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_Toc22701 \h </w:instrText>
      </w:r>
      <w:r>
        <w:rPr>
          <w:rFonts w:hint="eastAsia" w:ascii="楷体" w:hAnsi="楷体" w:eastAsia="楷体" w:cs="楷体"/>
          <w:sz w:val="30"/>
          <w:szCs w:val="30"/>
        </w:rPr>
        <w:fldChar w:fldCharType="separate"/>
      </w:r>
      <w:r>
        <w:rPr>
          <w:rFonts w:hint="eastAsia" w:ascii="楷体" w:hAnsi="楷体" w:eastAsia="楷体" w:cs="楷体"/>
          <w:sz w:val="30"/>
          <w:szCs w:val="30"/>
        </w:rPr>
        <w:t>20</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3"/>
        <w:keepNext w:val="0"/>
        <w:keepLines w:val="0"/>
        <w:pageBreakBefore w:val="0"/>
        <w:widowControl w:val="0"/>
        <w:tabs>
          <w:tab w:val="right" w:leader="dot" w:pos="9010"/>
        </w:tabs>
        <w:kinsoku/>
        <w:wordWrap/>
        <w:overflowPunct/>
        <w:topLinePunct w:val="0"/>
        <w:autoSpaceDE/>
        <w:autoSpaceDN/>
        <w:bidi w:val="0"/>
        <w:spacing w:line="540" w:lineRule="exact"/>
        <w:textAlignment w:val="auto"/>
        <w:rPr>
          <w:rFonts w:ascii="楷体" w:hAnsi="楷体" w:eastAsia="楷体" w:cs="楷体"/>
          <w:sz w:val="30"/>
          <w:szCs w:val="30"/>
        </w:rPr>
      </w:pPr>
      <w:r>
        <w:fldChar w:fldCharType="begin"/>
      </w:r>
      <w:r>
        <w:instrText xml:space="preserve"> HYPERLINK \l "_Toc29115" </w:instrText>
      </w:r>
      <w:r>
        <w:fldChar w:fldCharType="separate"/>
      </w:r>
      <w:r>
        <w:rPr>
          <w:rFonts w:hint="eastAsia" w:ascii="楷体" w:hAnsi="楷体" w:eastAsia="楷体" w:cs="楷体"/>
          <w:bCs/>
          <w:sz w:val="30"/>
          <w:szCs w:val="30"/>
        </w:rPr>
        <w:t>（四）建立健全特殊教育和专门教育保障机制</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_Toc29115 \h </w:instrText>
      </w:r>
      <w:r>
        <w:rPr>
          <w:rFonts w:hint="eastAsia" w:ascii="楷体" w:hAnsi="楷体" w:eastAsia="楷体" w:cs="楷体"/>
          <w:sz w:val="30"/>
          <w:szCs w:val="30"/>
        </w:rPr>
        <w:fldChar w:fldCharType="separate"/>
      </w:r>
      <w:r>
        <w:rPr>
          <w:rFonts w:hint="eastAsia" w:ascii="楷体" w:hAnsi="楷体" w:eastAsia="楷体" w:cs="楷体"/>
          <w:sz w:val="30"/>
          <w:szCs w:val="30"/>
        </w:rPr>
        <w:t>21</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38"/>
        <w:keepNext w:val="0"/>
        <w:keepLines w:val="0"/>
        <w:pageBreakBefore w:val="0"/>
        <w:widowControl w:val="0"/>
        <w:kinsoku/>
        <w:wordWrap/>
        <w:overflowPunct/>
        <w:topLinePunct w:val="0"/>
        <w:autoSpaceDE/>
        <w:autoSpaceDN/>
        <w:bidi w:val="0"/>
        <w:spacing w:line="540" w:lineRule="exact"/>
        <w:textAlignment w:val="auto"/>
        <w:rPr>
          <w:rFonts w:hint="default" w:ascii="楷体" w:hAnsi="楷体" w:eastAsia="楷体" w:cs="楷体"/>
          <w:sz w:val="30"/>
          <w:szCs w:val="30"/>
        </w:rPr>
      </w:pPr>
      <w:r>
        <w:fldChar w:fldCharType="begin"/>
      </w:r>
      <w:r>
        <w:instrText xml:space="preserve"> HYPERLINK \l "_Toc13422" </w:instrText>
      </w:r>
      <w:r>
        <w:fldChar w:fldCharType="separate"/>
      </w:r>
      <w:r>
        <w:rPr>
          <w:rFonts w:ascii="黑体" w:hAnsi="黑体" w:cs="黑体"/>
          <w:szCs w:val="32"/>
        </w:rPr>
        <w:t>四、增强职业教育适应性</w:t>
      </w:r>
      <w:r>
        <w:rPr>
          <w:rFonts w:ascii="楷体" w:hAnsi="楷体" w:eastAsia="楷体" w:cs="楷体"/>
          <w:sz w:val="30"/>
          <w:szCs w:val="30"/>
        </w:rPr>
        <w:tab/>
      </w:r>
      <w:r>
        <w:rPr>
          <w:rFonts w:ascii="楷体" w:hAnsi="楷体" w:eastAsia="楷体" w:cs="楷体"/>
          <w:sz w:val="30"/>
          <w:szCs w:val="30"/>
        </w:rPr>
        <w:fldChar w:fldCharType="begin"/>
      </w:r>
      <w:r>
        <w:rPr>
          <w:rFonts w:ascii="楷体" w:hAnsi="楷体" w:eastAsia="楷体" w:cs="楷体"/>
          <w:sz w:val="30"/>
          <w:szCs w:val="30"/>
        </w:rPr>
        <w:instrText xml:space="preserve"> PAGEREF _Toc13422 \h </w:instrText>
      </w:r>
      <w:r>
        <w:rPr>
          <w:rFonts w:ascii="楷体" w:hAnsi="楷体" w:eastAsia="楷体" w:cs="楷体"/>
          <w:sz w:val="30"/>
          <w:szCs w:val="30"/>
        </w:rPr>
        <w:fldChar w:fldCharType="separate"/>
      </w:r>
      <w:r>
        <w:rPr>
          <w:rFonts w:ascii="楷体" w:hAnsi="楷体" w:eastAsia="楷体" w:cs="楷体"/>
          <w:sz w:val="30"/>
          <w:szCs w:val="30"/>
        </w:rPr>
        <w:t>23</w:t>
      </w:r>
      <w:r>
        <w:rPr>
          <w:rFonts w:ascii="楷体" w:hAnsi="楷体" w:eastAsia="楷体" w:cs="楷体"/>
          <w:sz w:val="30"/>
          <w:szCs w:val="30"/>
        </w:rPr>
        <w:fldChar w:fldCharType="end"/>
      </w:r>
      <w:r>
        <w:rPr>
          <w:rFonts w:ascii="楷体" w:hAnsi="楷体" w:eastAsia="楷体" w:cs="楷体"/>
          <w:sz w:val="30"/>
          <w:szCs w:val="30"/>
        </w:rPr>
        <w:fldChar w:fldCharType="end"/>
      </w:r>
    </w:p>
    <w:p>
      <w:pPr>
        <w:pStyle w:val="13"/>
        <w:keepNext w:val="0"/>
        <w:keepLines w:val="0"/>
        <w:pageBreakBefore w:val="0"/>
        <w:widowControl w:val="0"/>
        <w:tabs>
          <w:tab w:val="right" w:leader="dot" w:pos="9010"/>
        </w:tabs>
        <w:kinsoku/>
        <w:wordWrap/>
        <w:overflowPunct/>
        <w:topLinePunct w:val="0"/>
        <w:autoSpaceDE/>
        <w:autoSpaceDN/>
        <w:bidi w:val="0"/>
        <w:spacing w:line="540" w:lineRule="exact"/>
        <w:textAlignment w:val="auto"/>
        <w:rPr>
          <w:rFonts w:ascii="楷体" w:hAnsi="楷体" w:eastAsia="楷体" w:cs="楷体"/>
          <w:sz w:val="30"/>
          <w:szCs w:val="30"/>
        </w:rPr>
      </w:pPr>
      <w:r>
        <w:fldChar w:fldCharType="begin"/>
      </w:r>
      <w:r>
        <w:instrText xml:space="preserve"> HYPERLINK \l "_Toc13679" </w:instrText>
      </w:r>
      <w:r>
        <w:fldChar w:fldCharType="separate"/>
      </w:r>
      <w:r>
        <w:rPr>
          <w:rFonts w:hint="eastAsia" w:ascii="楷体" w:hAnsi="楷体" w:eastAsia="楷体" w:cs="楷体"/>
          <w:bCs/>
          <w:sz w:val="30"/>
          <w:szCs w:val="30"/>
        </w:rPr>
        <w:t>（一）完善类型教育人才培养体系</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_Toc13679 \h </w:instrText>
      </w:r>
      <w:r>
        <w:rPr>
          <w:rFonts w:hint="eastAsia" w:ascii="楷体" w:hAnsi="楷体" w:eastAsia="楷体" w:cs="楷体"/>
          <w:sz w:val="30"/>
          <w:szCs w:val="30"/>
        </w:rPr>
        <w:fldChar w:fldCharType="separate"/>
      </w:r>
      <w:r>
        <w:rPr>
          <w:rFonts w:hint="eastAsia" w:ascii="楷体" w:hAnsi="楷体" w:eastAsia="楷体" w:cs="楷体"/>
          <w:sz w:val="30"/>
          <w:szCs w:val="30"/>
        </w:rPr>
        <w:t>23</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3"/>
        <w:keepNext w:val="0"/>
        <w:keepLines w:val="0"/>
        <w:pageBreakBefore w:val="0"/>
        <w:widowControl w:val="0"/>
        <w:tabs>
          <w:tab w:val="right" w:leader="dot" w:pos="9010"/>
        </w:tabs>
        <w:kinsoku/>
        <w:wordWrap/>
        <w:overflowPunct/>
        <w:topLinePunct w:val="0"/>
        <w:autoSpaceDE/>
        <w:autoSpaceDN/>
        <w:bidi w:val="0"/>
        <w:spacing w:line="540" w:lineRule="exact"/>
        <w:textAlignment w:val="auto"/>
        <w:rPr>
          <w:rFonts w:ascii="楷体" w:hAnsi="楷体" w:eastAsia="楷体" w:cs="楷体"/>
          <w:sz w:val="30"/>
          <w:szCs w:val="30"/>
        </w:rPr>
      </w:pPr>
      <w:r>
        <w:fldChar w:fldCharType="begin"/>
      </w:r>
      <w:r>
        <w:instrText xml:space="preserve"> HYPERLINK \l "_Toc16143" </w:instrText>
      </w:r>
      <w:r>
        <w:fldChar w:fldCharType="separate"/>
      </w:r>
      <w:r>
        <w:rPr>
          <w:rFonts w:hint="eastAsia" w:ascii="楷体" w:hAnsi="楷体" w:eastAsia="楷体" w:cs="楷体"/>
          <w:bCs/>
          <w:sz w:val="30"/>
          <w:szCs w:val="30"/>
        </w:rPr>
        <w:t>（二）深化产教融合校企合作</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_Toc16143 \h </w:instrText>
      </w:r>
      <w:r>
        <w:rPr>
          <w:rFonts w:hint="eastAsia" w:ascii="楷体" w:hAnsi="楷体" w:eastAsia="楷体" w:cs="楷体"/>
          <w:sz w:val="30"/>
          <w:szCs w:val="30"/>
        </w:rPr>
        <w:fldChar w:fldCharType="separate"/>
      </w:r>
      <w:r>
        <w:rPr>
          <w:rFonts w:hint="eastAsia" w:ascii="楷体" w:hAnsi="楷体" w:eastAsia="楷体" w:cs="楷体"/>
          <w:sz w:val="30"/>
          <w:szCs w:val="30"/>
        </w:rPr>
        <w:t>25</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3"/>
        <w:keepNext w:val="0"/>
        <w:keepLines w:val="0"/>
        <w:pageBreakBefore w:val="0"/>
        <w:widowControl w:val="0"/>
        <w:tabs>
          <w:tab w:val="right" w:leader="dot" w:pos="9010"/>
        </w:tabs>
        <w:kinsoku/>
        <w:wordWrap/>
        <w:overflowPunct/>
        <w:topLinePunct w:val="0"/>
        <w:autoSpaceDE/>
        <w:autoSpaceDN/>
        <w:bidi w:val="0"/>
        <w:spacing w:line="540" w:lineRule="exact"/>
        <w:textAlignment w:val="auto"/>
        <w:rPr>
          <w:rFonts w:ascii="楷体" w:hAnsi="楷体" w:eastAsia="楷体" w:cs="楷体"/>
          <w:sz w:val="30"/>
          <w:szCs w:val="30"/>
        </w:rPr>
      </w:pPr>
      <w:r>
        <w:fldChar w:fldCharType="begin"/>
      </w:r>
      <w:r>
        <w:instrText xml:space="preserve"> HYPERLINK \l "_Toc1138" </w:instrText>
      </w:r>
      <w:r>
        <w:fldChar w:fldCharType="separate"/>
      </w:r>
      <w:r>
        <w:rPr>
          <w:rFonts w:hint="eastAsia" w:ascii="楷体" w:hAnsi="楷体" w:eastAsia="楷体" w:cs="楷体"/>
          <w:bCs/>
          <w:sz w:val="30"/>
          <w:szCs w:val="30"/>
        </w:rPr>
        <w:t>（三）推动技能型社会建设</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_Toc1138 \h </w:instrText>
      </w:r>
      <w:r>
        <w:rPr>
          <w:rFonts w:hint="eastAsia" w:ascii="楷体" w:hAnsi="楷体" w:eastAsia="楷体" w:cs="楷体"/>
          <w:sz w:val="30"/>
          <w:szCs w:val="30"/>
        </w:rPr>
        <w:fldChar w:fldCharType="separate"/>
      </w:r>
      <w:r>
        <w:rPr>
          <w:rFonts w:hint="eastAsia" w:ascii="楷体" w:hAnsi="楷体" w:eastAsia="楷体" w:cs="楷体"/>
          <w:sz w:val="30"/>
          <w:szCs w:val="30"/>
        </w:rPr>
        <w:t>26</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38"/>
        <w:keepNext w:val="0"/>
        <w:keepLines w:val="0"/>
        <w:pageBreakBefore w:val="0"/>
        <w:widowControl w:val="0"/>
        <w:kinsoku/>
        <w:wordWrap/>
        <w:overflowPunct/>
        <w:topLinePunct w:val="0"/>
        <w:autoSpaceDE/>
        <w:autoSpaceDN/>
        <w:bidi w:val="0"/>
        <w:spacing w:line="540" w:lineRule="exact"/>
        <w:textAlignment w:val="auto"/>
        <w:rPr>
          <w:rFonts w:hint="default" w:ascii="楷体" w:hAnsi="楷体" w:eastAsia="楷体" w:cs="楷体"/>
          <w:sz w:val="30"/>
          <w:szCs w:val="30"/>
        </w:rPr>
      </w:pPr>
      <w:r>
        <w:fldChar w:fldCharType="begin"/>
      </w:r>
      <w:r>
        <w:instrText xml:space="preserve"> HYPERLINK \l "_Toc13553" </w:instrText>
      </w:r>
      <w:r>
        <w:fldChar w:fldCharType="separate"/>
      </w:r>
      <w:r>
        <w:rPr>
          <w:rFonts w:ascii="黑体" w:hAnsi="黑体" w:cs="黑体"/>
          <w:bCs/>
          <w:szCs w:val="32"/>
        </w:rPr>
        <w:t>五、加快高等教育发展步伐</w:t>
      </w:r>
      <w:r>
        <w:rPr>
          <w:rFonts w:ascii="楷体" w:hAnsi="楷体" w:eastAsia="楷体" w:cs="楷体"/>
          <w:sz w:val="30"/>
          <w:szCs w:val="30"/>
        </w:rPr>
        <w:tab/>
      </w:r>
      <w:r>
        <w:rPr>
          <w:rFonts w:ascii="楷体" w:hAnsi="楷体" w:eastAsia="楷体" w:cs="楷体"/>
          <w:sz w:val="30"/>
          <w:szCs w:val="30"/>
        </w:rPr>
        <w:fldChar w:fldCharType="begin"/>
      </w:r>
      <w:r>
        <w:rPr>
          <w:rFonts w:ascii="楷体" w:hAnsi="楷体" w:eastAsia="楷体" w:cs="楷体"/>
          <w:sz w:val="30"/>
          <w:szCs w:val="30"/>
        </w:rPr>
        <w:instrText xml:space="preserve"> PAGEREF _Toc13553 \h </w:instrText>
      </w:r>
      <w:r>
        <w:rPr>
          <w:rFonts w:ascii="楷体" w:hAnsi="楷体" w:eastAsia="楷体" w:cs="楷体"/>
          <w:sz w:val="30"/>
          <w:szCs w:val="30"/>
        </w:rPr>
        <w:fldChar w:fldCharType="separate"/>
      </w:r>
      <w:r>
        <w:rPr>
          <w:rFonts w:ascii="楷体" w:hAnsi="楷体" w:eastAsia="楷体" w:cs="楷体"/>
          <w:sz w:val="30"/>
          <w:szCs w:val="30"/>
        </w:rPr>
        <w:t>27</w:t>
      </w:r>
      <w:r>
        <w:rPr>
          <w:rFonts w:ascii="楷体" w:hAnsi="楷体" w:eastAsia="楷体" w:cs="楷体"/>
          <w:sz w:val="30"/>
          <w:szCs w:val="30"/>
        </w:rPr>
        <w:fldChar w:fldCharType="end"/>
      </w:r>
      <w:r>
        <w:rPr>
          <w:rFonts w:ascii="楷体" w:hAnsi="楷体" w:eastAsia="楷体" w:cs="楷体"/>
          <w:sz w:val="30"/>
          <w:szCs w:val="30"/>
        </w:rPr>
        <w:fldChar w:fldCharType="end"/>
      </w:r>
    </w:p>
    <w:p>
      <w:pPr>
        <w:pStyle w:val="38"/>
        <w:keepNext w:val="0"/>
        <w:keepLines w:val="0"/>
        <w:pageBreakBefore w:val="0"/>
        <w:widowControl w:val="0"/>
        <w:kinsoku/>
        <w:wordWrap/>
        <w:overflowPunct/>
        <w:topLinePunct w:val="0"/>
        <w:autoSpaceDE/>
        <w:autoSpaceDN/>
        <w:bidi w:val="0"/>
        <w:spacing w:line="540" w:lineRule="exact"/>
        <w:textAlignment w:val="auto"/>
        <w:rPr>
          <w:rFonts w:hint="default" w:ascii="楷体" w:hAnsi="楷体" w:eastAsia="楷体" w:cs="楷体"/>
          <w:sz w:val="30"/>
          <w:szCs w:val="30"/>
        </w:rPr>
      </w:pPr>
      <w:r>
        <w:fldChar w:fldCharType="begin"/>
      </w:r>
      <w:r>
        <w:instrText xml:space="preserve"> HYPERLINK \l "_Toc27441" </w:instrText>
      </w:r>
      <w:r>
        <w:fldChar w:fldCharType="separate"/>
      </w:r>
      <w:r>
        <w:rPr>
          <w:rFonts w:ascii="黑体" w:hAnsi="黑体" w:cs="黑体"/>
          <w:bCs/>
          <w:szCs w:val="32"/>
        </w:rPr>
        <w:t>六、建设学习型社会</w:t>
      </w:r>
      <w:r>
        <w:rPr>
          <w:rFonts w:ascii="楷体" w:hAnsi="楷体" w:eastAsia="楷体" w:cs="楷体"/>
          <w:sz w:val="30"/>
          <w:szCs w:val="30"/>
        </w:rPr>
        <w:tab/>
      </w:r>
      <w:r>
        <w:rPr>
          <w:rFonts w:ascii="楷体" w:hAnsi="楷体" w:eastAsia="楷体" w:cs="楷体"/>
          <w:sz w:val="30"/>
          <w:szCs w:val="30"/>
        </w:rPr>
        <w:fldChar w:fldCharType="begin"/>
      </w:r>
      <w:r>
        <w:rPr>
          <w:rFonts w:ascii="楷体" w:hAnsi="楷体" w:eastAsia="楷体" w:cs="楷体"/>
          <w:sz w:val="30"/>
          <w:szCs w:val="30"/>
        </w:rPr>
        <w:instrText xml:space="preserve"> PAGEREF _Toc27441 \h </w:instrText>
      </w:r>
      <w:r>
        <w:rPr>
          <w:rFonts w:ascii="楷体" w:hAnsi="楷体" w:eastAsia="楷体" w:cs="楷体"/>
          <w:sz w:val="30"/>
          <w:szCs w:val="30"/>
        </w:rPr>
        <w:fldChar w:fldCharType="separate"/>
      </w:r>
      <w:r>
        <w:rPr>
          <w:rFonts w:ascii="楷体" w:hAnsi="楷体" w:eastAsia="楷体" w:cs="楷体"/>
          <w:sz w:val="30"/>
          <w:szCs w:val="30"/>
        </w:rPr>
        <w:t>28</w:t>
      </w:r>
      <w:r>
        <w:rPr>
          <w:rFonts w:ascii="楷体" w:hAnsi="楷体" w:eastAsia="楷体" w:cs="楷体"/>
          <w:sz w:val="30"/>
          <w:szCs w:val="30"/>
        </w:rPr>
        <w:fldChar w:fldCharType="end"/>
      </w:r>
      <w:r>
        <w:rPr>
          <w:rFonts w:ascii="楷体" w:hAnsi="楷体" w:eastAsia="楷体" w:cs="楷体"/>
          <w:sz w:val="30"/>
          <w:szCs w:val="30"/>
        </w:rPr>
        <w:fldChar w:fldCharType="end"/>
      </w:r>
    </w:p>
    <w:p>
      <w:pPr>
        <w:pStyle w:val="38"/>
        <w:keepNext w:val="0"/>
        <w:keepLines w:val="0"/>
        <w:pageBreakBefore w:val="0"/>
        <w:widowControl w:val="0"/>
        <w:kinsoku/>
        <w:wordWrap/>
        <w:overflowPunct/>
        <w:topLinePunct w:val="0"/>
        <w:autoSpaceDE/>
        <w:autoSpaceDN/>
        <w:bidi w:val="0"/>
        <w:spacing w:line="540" w:lineRule="exact"/>
        <w:ind w:firstLine="308" w:firstLineChars="100"/>
        <w:textAlignment w:val="auto"/>
        <w:rPr>
          <w:rFonts w:hint="default" w:ascii="楷体" w:hAnsi="楷体" w:eastAsia="楷体" w:cs="楷体"/>
          <w:sz w:val="30"/>
          <w:szCs w:val="30"/>
        </w:rPr>
      </w:pPr>
      <w:r>
        <w:fldChar w:fldCharType="begin"/>
      </w:r>
      <w:r>
        <w:instrText xml:space="preserve"> HYPERLINK \l "_Toc21547" </w:instrText>
      </w:r>
      <w:r>
        <w:fldChar w:fldCharType="separate"/>
      </w:r>
      <w:r>
        <w:rPr>
          <w:rFonts w:ascii="楷体" w:hAnsi="楷体" w:eastAsia="楷体" w:cs="楷体"/>
          <w:bCs/>
          <w:sz w:val="30"/>
          <w:szCs w:val="30"/>
        </w:rPr>
        <w:t>（一）完善全民终身学习体系</w:t>
      </w:r>
      <w:r>
        <w:rPr>
          <w:rFonts w:ascii="楷体" w:hAnsi="楷体" w:eastAsia="楷体" w:cs="楷体"/>
          <w:sz w:val="30"/>
          <w:szCs w:val="30"/>
        </w:rPr>
        <w:tab/>
      </w:r>
      <w:r>
        <w:rPr>
          <w:rFonts w:ascii="楷体" w:hAnsi="楷体" w:eastAsia="楷体" w:cs="楷体"/>
          <w:sz w:val="30"/>
          <w:szCs w:val="30"/>
        </w:rPr>
        <w:fldChar w:fldCharType="begin"/>
      </w:r>
      <w:r>
        <w:rPr>
          <w:rFonts w:ascii="楷体" w:hAnsi="楷体" w:eastAsia="楷体" w:cs="楷体"/>
          <w:sz w:val="30"/>
          <w:szCs w:val="30"/>
        </w:rPr>
        <w:instrText xml:space="preserve"> PAGEREF _Toc21547 \h </w:instrText>
      </w:r>
      <w:r>
        <w:rPr>
          <w:rFonts w:ascii="楷体" w:hAnsi="楷体" w:eastAsia="楷体" w:cs="楷体"/>
          <w:sz w:val="30"/>
          <w:szCs w:val="30"/>
        </w:rPr>
        <w:fldChar w:fldCharType="separate"/>
      </w:r>
      <w:r>
        <w:rPr>
          <w:rFonts w:ascii="楷体" w:hAnsi="楷体" w:eastAsia="楷体" w:cs="楷体"/>
          <w:sz w:val="30"/>
          <w:szCs w:val="30"/>
        </w:rPr>
        <w:t>28</w:t>
      </w:r>
      <w:r>
        <w:rPr>
          <w:rFonts w:ascii="楷体" w:hAnsi="楷体" w:eastAsia="楷体" w:cs="楷体"/>
          <w:sz w:val="30"/>
          <w:szCs w:val="30"/>
        </w:rPr>
        <w:fldChar w:fldCharType="end"/>
      </w:r>
      <w:r>
        <w:rPr>
          <w:rFonts w:ascii="楷体" w:hAnsi="楷体" w:eastAsia="楷体" w:cs="楷体"/>
          <w:sz w:val="30"/>
          <w:szCs w:val="30"/>
        </w:rPr>
        <w:fldChar w:fldCharType="end"/>
      </w:r>
    </w:p>
    <w:p>
      <w:pPr>
        <w:pStyle w:val="13"/>
        <w:keepNext w:val="0"/>
        <w:keepLines w:val="0"/>
        <w:pageBreakBefore w:val="0"/>
        <w:widowControl w:val="0"/>
        <w:tabs>
          <w:tab w:val="right" w:leader="dot" w:pos="9010"/>
        </w:tabs>
        <w:kinsoku/>
        <w:wordWrap/>
        <w:overflowPunct/>
        <w:topLinePunct w:val="0"/>
        <w:autoSpaceDE/>
        <w:autoSpaceDN/>
        <w:bidi w:val="0"/>
        <w:spacing w:line="540" w:lineRule="exact"/>
        <w:textAlignment w:val="auto"/>
        <w:rPr>
          <w:rFonts w:ascii="楷体" w:hAnsi="楷体" w:eastAsia="楷体" w:cs="楷体"/>
          <w:sz w:val="30"/>
          <w:szCs w:val="30"/>
        </w:rPr>
      </w:pPr>
      <w:r>
        <w:fldChar w:fldCharType="begin"/>
      </w:r>
      <w:r>
        <w:instrText xml:space="preserve"> HYPERLINK \l "_Toc3386" </w:instrText>
      </w:r>
      <w:r>
        <w:fldChar w:fldCharType="separate"/>
      </w:r>
      <w:r>
        <w:rPr>
          <w:rFonts w:hint="eastAsia" w:ascii="楷体" w:hAnsi="楷体" w:eastAsia="楷体" w:cs="楷体"/>
          <w:bCs/>
          <w:sz w:val="30"/>
          <w:szCs w:val="30"/>
        </w:rPr>
        <w:t>（二）扩</w:t>
      </w:r>
      <w:r>
        <w:rPr>
          <w:rFonts w:hint="eastAsia" w:ascii="楷体" w:hAnsi="楷体" w:eastAsia="楷体" w:cs="楷体"/>
          <w:bCs/>
          <w:color w:val="auto"/>
          <w:sz w:val="30"/>
          <w:szCs w:val="30"/>
        </w:rPr>
        <w:t>大</w:t>
      </w:r>
      <w:r>
        <w:rPr>
          <w:rFonts w:hint="eastAsia" w:ascii="楷体" w:hAnsi="楷体" w:eastAsia="楷体" w:cs="楷体"/>
          <w:bCs/>
          <w:sz w:val="30"/>
          <w:szCs w:val="30"/>
        </w:rPr>
        <w:t>终身教育资源</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_Toc3386 \h </w:instrText>
      </w:r>
      <w:r>
        <w:rPr>
          <w:rFonts w:hint="eastAsia" w:ascii="楷体" w:hAnsi="楷体" w:eastAsia="楷体" w:cs="楷体"/>
          <w:sz w:val="30"/>
          <w:szCs w:val="30"/>
        </w:rPr>
        <w:fldChar w:fldCharType="separate"/>
      </w:r>
      <w:r>
        <w:rPr>
          <w:rFonts w:hint="eastAsia" w:ascii="楷体" w:hAnsi="楷体" w:eastAsia="楷体" w:cs="楷体"/>
          <w:sz w:val="30"/>
          <w:szCs w:val="30"/>
        </w:rPr>
        <w:t>28</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3"/>
        <w:keepNext w:val="0"/>
        <w:keepLines w:val="0"/>
        <w:pageBreakBefore w:val="0"/>
        <w:widowControl w:val="0"/>
        <w:tabs>
          <w:tab w:val="right" w:leader="dot" w:pos="9010"/>
        </w:tabs>
        <w:kinsoku/>
        <w:wordWrap/>
        <w:overflowPunct/>
        <w:topLinePunct w:val="0"/>
        <w:autoSpaceDE/>
        <w:autoSpaceDN/>
        <w:bidi w:val="0"/>
        <w:spacing w:line="540" w:lineRule="exact"/>
        <w:textAlignment w:val="auto"/>
        <w:rPr>
          <w:rFonts w:ascii="楷体" w:hAnsi="楷体" w:eastAsia="楷体" w:cs="楷体"/>
          <w:sz w:val="30"/>
          <w:szCs w:val="30"/>
        </w:rPr>
      </w:pPr>
      <w:r>
        <w:fldChar w:fldCharType="begin"/>
      </w:r>
      <w:r>
        <w:instrText xml:space="preserve"> HYPERLINK \l "_Toc138" </w:instrText>
      </w:r>
      <w:r>
        <w:fldChar w:fldCharType="separate"/>
      </w:r>
      <w:r>
        <w:rPr>
          <w:rFonts w:hint="eastAsia" w:ascii="楷体" w:hAnsi="楷体" w:eastAsia="楷体" w:cs="楷体"/>
          <w:bCs/>
          <w:sz w:val="30"/>
          <w:szCs w:val="30"/>
        </w:rPr>
        <w:t>（三）办好城乡社区教育</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_Toc138 \h </w:instrText>
      </w:r>
      <w:r>
        <w:rPr>
          <w:rFonts w:hint="eastAsia" w:ascii="楷体" w:hAnsi="楷体" w:eastAsia="楷体" w:cs="楷体"/>
          <w:sz w:val="30"/>
          <w:szCs w:val="30"/>
        </w:rPr>
        <w:fldChar w:fldCharType="separate"/>
      </w:r>
      <w:r>
        <w:rPr>
          <w:rFonts w:hint="eastAsia" w:ascii="楷体" w:hAnsi="楷体" w:eastAsia="楷体" w:cs="楷体"/>
          <w:sz w:val="30"/>
          <w:szCs w:val="30"/>
        </w:rPr>
        <w:t>29</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3"/>
        <w:keepNext w:val="0"/>
        <w:keepLines w:val="0"/>
        <w:pageBreakBefore w:val="0"/>
        <w:widowControl w:val="0"/>
        <w:tabs>
          <w:tab w:val="right" w:leader="dot" w:pos="9010"/>
        </w:tabs>
        <w:kinsoku/>
        <w:wordWrap/>
        <w:overflowPunct/>
        <w:topLinePunct w:val="0"/>
        <w:autoSpaceDE/>
        <w:autoSpaceDN/>
        <w:bidi w:val="0"/>
        <w:spacing w:line="540" w:lineRule="exact"/>
        <w:textAlignment w:val="auto"/>
        <w:rPr>
          <w:rFonts w:ascii="楷体" w:hAnsi="楷体" w:eastAsia="楷体" w:cs="楷体"/>
          <w:sz w:val="30"/>
          <w:szCs w:val="30"/>
        </w:rPr>
      </w:pPr>
      <w:r>
        <w:fldChar w:fldCharType="begin"/>
      </w:r>
      <w:r>
        <w:instrText xml:space="preserve"> HYPERLINK \l "_Toc7124" </w:instrText>
      </w:r>
      <w:r>
        <w:fldChar w:fldCharType="separate"/>
      </w:r>
      <w:r>
        <w:rPr>
          <w:rFonts w:hint="eastAsia" w:ascii="楷体" w:hAnsi="楷体" w:eastAsia="楷体" w:cs="楷体"/>
          <w:bCs/>
          <w:sz w:val="30"/>
          <w:szCs w:val="30"/>
        </w:rPr>
        <w:t>（四）创新发展老年教育</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_Toc7124 \h </w:instrText>
      </w:r>
      <w:r>
        <w:rPr>
          <w:rFonts w:hint="eastAsia" w:ascii="楷体" w:hAnsi="楷体" w:eastAsia="楷体" w:cs="楷体"/>
          <w:sz w:val="30"/>
          <w:szCs w:val="30"/>
        </w:rPr>
        <w:fldChar w:fldCharType="separate"/>
      </w:r>
      <w:r>
        <w:rPr>
          <w:rFonts w:hint="eastAsia" w:ascii="楷体" w:hAnsi="楷体" w:eastAsia="楷体" w:cs="楷体"/>
          <w:sz w:val="30"/>
          <w:szCs w:val="30"/>
        </w:rPr>
        <w:t>29</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3"/>
        <w:keepNext w:val="0"/>
        <w:keepLines w:val="0"/>
        <w:pageBreakBefore w:val="0"/>
        <w:widowControl w:val="0"/>
        <w:tabs>
          <w:tab w:val="right" w:leader="dot" w:pos="9010"/>
        </w:tabs>
        <w:kinsoku/>
        <w:wordWrap/>
        <w:overflowPunct/>
        <w:topLinePunct w:val="0"/>
        <w:autoSpaceDE/>
        <w:autoSpaceDN/>
        <w:bidi w:val="0"/>
        <w:spacing w:line="540" w:lineRule="exact"/>
        <w:ind w:left="0" w:leftChars="0"/>
        <w:textAlignment w:val="auto"/>
        <w:rPr>
          <w:rFonts w:ascii="楷体" w:hAnsi="楷体" w:eastAsia="楷体" w:cs="楷体"/>
          <w:sz w:val="30"/>
          <w:szCs w:val="30"/>
        </w:rPr>
      </w:pPr>
      <w:r>
        <w:fldChar w:fldCharType="begin"/>
      </w:r>
      <w:r>
        <w:instrText xml:space="preserve"> HYPERLINK \l "_Toc14390" </w:instrText>
      </w:r>
      <w:r>
        <w:fldChar w:fldCharType="separate"/>
      </w:r>
      <w:r>
        <w:rPr>
          <w:rFonts w:hint="eastAsia" w:ascii="黑体" w:hAnsi="黑体" w:eastAsia="黑体" w:cs="黑体"/>
          <w:sz w:val="32"/>
          <w:szCs w:val="32"/>
        </w:rPr>
        <w:t>七、深化教育领域综合改革</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_Toc14390 \h </w:instrText>
      </w:r>
      <w:r>
        <w:rPr>
          <w:rFonts w:hint="eastAsia" w:ascii="楷体" w:hAnsi="楷体" w:eastAsia="楷体" w:cs="楷体"/>
          <w:sz w:val="30"/>
          <w:szCs w:val="30"/>
        </w:rPr>
        <w:fldChar w:fldCharType="separate"/>
      </w:r>
      <w:r>
        <w:rPr>
          <w:rFonts w:hint="eastAsia" w:ascii="楷体" w:hAnsi="楷体" w:eastAsia="楷体" w:cs="楷体"/>
          <w:sz w:val="30"/>
          <w:szCs w:val="30"/>
        </w:rPr>
        <w:t>30</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3"/>
        <w:keepNext w:val="0"/>
        <w:keepLines w:val="0"/>
        <w:pageBreakBefore w:val="0"/>
        <w:widowControl w:val="0"/>
        <w:tabs>
          <w:tab w:val="right" w:leader="dot" w:pos="9010"/>
        </w:tabs>
        <w:kinsoku/>
        <w:wordWrap/>
        <w:overflowPunct/>
        <w:topLinePunct w:val="0"/>
        <w:autoSpaceDE/>
        <w:autoSpaceDN/>
        <w:bidi w:val="0"/>
        <w:spacing w:line="540" w:lineRule="exact"/>
        <w:textAlignment w:val="auto"/>
        <w:rPr>
          <w:rFonts w:ascii="楷体" w:hAnsi="楷体" w:eastAsia="楷体" w:cs="楷体"/>
          <w:sz w:val="30"/>
          <w:szCs w:val="30"/>
        </w:rPr>
      </w:pPr>
      <w:r>
        <w:fldChar w:fldCharType="begin"/>
      </w:r>
      <w:r>
        <w:instrText xml:space="preserve"> HYPERLINK \l "_Toc28290" </w:instrText>
      </w:r>
      <w:r>
        <w:fldChar w:fldCharType="separate"/>
      </w:r>
      <w:r>
        <w:rPr>
          <w:rFonts w:hint="eastAsia" w:ascii="楷体" w:hAnsi="楷体" w:eastAsia="楷体" w:cs="楷体"/>
          <w:bCs/>
          <w:sz w:val="30"/>
          <w:szCs w:val="30"/>
        </w:rPr>
        <w:t>（一）深化新时代教育评价改革</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_Toc28290 \h </w:instrText>
      </w:r>
      <w:r>
        <w:rPr>
          <w:rFonts w:hint="eastAsia" w:ascii="楷体" w:hAnsi="楷体" w:eastAsia="楷体" w:cs="楷体"/>
          <w:sz w:val="30"/>
          <w:szCs w:val="30"/>
        </w:rPr>
        <w:fldChar w:fldCharType="separate"/>
      </w:r>
      <w:r>
        <w:rPr>
          <w:rFonts w:hint="eastAsia" w:ascii="楷体" w:hAnsi="楷体" w:eastAsia="楷体" w:cs="楷体"/>
          <w:sz w:val="30"/>
          <w:szCs w:val="30"/>
        </w:rPr>
        <w:t>30</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3"/>
        <w:keepNext w:val="0"/>
        <w:keepLines w:val="0"/>
        <w:pageBreakBefore w:val="0"/>
        <w:widowControl w:val="0"/>
        <w:tabs>
          <w:tab w:val="right" w:leader="dot" w:pos="9010"/>
        </w:tabs>
        <w:kinsoku/>
        <w:wordWrap/>
        <w:overflowPunct/>
        <w:topLinePunct w:val="0"/>
        <w:autoSpaceDE/>
        <w:autoSpaceDN/>
        <w:bidi w:val="0"/>
        <w:spacing w:line="540" w:lineRule="exact"/>
        <w:textAlignment w:val="auto"/>
        <w:rPr>
          <w:rFonts w:ascii="楷体" w:hAnsi="楷体" w:eastAsia="楷体" w:cs="楷体"/>
          <w:sz w:val="30"/>
          <w:szCs w:val="30"/>
        </w:rPr>
      </w:pPr>
      <w:r>
        <w:fldChar w:fldCharType="begin"/>
      </w:r>
      <w:r>
        <w:instrText xml:space="preserve"> HYPERLINK \l "_Toc26300" </w:instrText>
      </w:r>
      <w:r>
        <w:fldChar w:fldCharType="separate"/>
      </w:r>
      <w:r>
        <w:rPr>
          <w:rFonts w:hint="eastAsia" w:ascii="楷体" w:hAnsi="楷体" w:eastAsia="楷体" w:cs="楷体"/>
          <w:bCs/>
          <w:sz w:val="30"/>
          <w:szCs w:val="30"/>
        </w:rPr>
        <w:t>（二）大力推动育人方式改革</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_Toc26300 \h </w:instrText>
      </w:r>
      <w:r>
        <w:rPr>
          <w:rFonts w:hint="eastAsia" w:ascii="楷体" w:hAnsi="楷体" w:eastAsia="楷体" w:cs="楷体"/>
          <w:sz w:val="30"/>
          <w:szCs w:val="30"/>
        </w:rPr>
        <w:fldChar w:fldCharType="separate"/>
      </w:r>
      <w:r>
        <w:rPr>
          <w:rFonts w:hint="eastAsia" w:ascii="楷体" w:hAnsi="楷体" w:eastAsia="楷体" w:cs="楷体"/>
          <w:sz w:val="30"/>
          <w:szCs w:val="30"/>
        </w:rPr>
        <w:t>31</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3"/>
        <w:keepNext w:val="0"/>
        <w:keepLines w:val="0"/>
        <w:pageBreakBefore w:val="0"/>
        <w:widowControl w:val="0"/>
        <w:tabs>
          <w:tab w:val="right" w:leader="dot" w:pos="9010"/>
        </w:tabs>
        <w:kinsoku/>
        <w:wordWrap/>
        <w:overflowPunct/>
        <w:topLinePunct w:val="0"/>
        <w:autoSpaceDE/>
        <w:autoSpaceDN/>
        <w:bidi w:val="0"/>
        <w:spacing w:line="540" w:lineRule="exact"/>
        <w:textAlignment w:val="auto"/>
        <w:rPr>
          <w:rFonts w:ascii="楷体" w:hAnsi="楷体" w:eastAsia="楷体" w:cs="楷体"/>
          <w:sz w:val="30"/>
          <w:szCs w:val="30"/>
        </w:rPr>
      </w:pPr>
      <w:r>
        <w:fldChar w:fldCharType="begin"/>
      </w:r>
      <w:r>
        <w:instrText xml:space="preserve"> HYPERLINK \l "_Toc13411" </w:instrText>
      </w:r>
      <w:r>
        <w:fldChar w:fldCharType="separate"/>
      </w:r>
      <w:r>
        <w:rPr>
          <w:rFonts w:hint="eastAsia" w:ascii="楷体" w:hAnsi="楷体" w:eastAsia="楷体" w:cs="楷体"/>
          <w:bCs/>
          <w:sz w:val="30"/>
          <w:szCs w:val="30"/>
        </w:rPr>
        <w:t>（三）加快推进办学模式改革</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_Toc13411 \h </w:instrText>
      </w:r>
      <w:r>
        <w:rPr>
          <w:rFonts w:hint="eastAsia" w:ascii="楷体" w:hAnsi="楷体" w:eastAsia="楷体" w:cs="楷体"/>
          <w:sz w:val="30"/>
          <w:szCs w:val="30"/>
        </w:rPr>
        <w:fldChar w:fldCharType="separate"/>
      </w:r>
      <w:r>
        <w:rPr>
          <w:rFonts w:hint="eastAsia" w:ascii="楷体" w:hAnsi="楷体" w:eastAsia="楷体" w:cs="楷体"/>
          <w:sz w:val="30"/>
          <w:szCs w:val="30"/>
        </w:rPr>
        <w:t>32</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3"/>
        <w:keepNext w:val="0"/>
        <w:keepLines w:val="0"/>
        <w:pageBreakBefore w:val="0"/>
        <w:widowControl w:val="0"/>
        <w:tabs>
          <w:tab w:val="right" w:leader="dot" w:pos="9010"/>
        </w:tabs>
        <w:kinsoku/>
        <w:wordWrap/>
        <w:overflowPunct/>
        <w:topLinePunct w:val="0"/>
        <w:autoSpaceDE/>
        <w:autoSpaceDN/>
        <w:bidi w:val="0"/>
        <w:spacing w:line="540" w:lineRule="exact"/>
        <w:textAlignment w:val="auto"/>
        <w:rPr>
          <w:rFonts w:ascii="楷体" w:hAnsi="楷体" w:eastAsia="楷体" w:cs="楷体"/>
          <w:sz w:val="30"/>
          <w:szCs w:val="30"/>
        </w:rPr>
      </w:pPr>
      <w:r>
        <w:fldChar w:fldCharType="begin"/>
      </w:r>
      <w:r>
        <w:instrText xml:space="preserve"> HYPERLINK \l "_Toc20830" </w:instrText>
      </w:r>
      <w:r>
        <w:fldChar w:fldCharType="separate"/>
      </w:r>
      <w:r>
        <w:rPr>
          <w:rFonts w:hint="eastAsia" w:ascii="楷体" w:hAnsi="楷体" w:eastAsia="楷体" w:cs="楷体"/>
          <w:bCs/>
          <w:sz w:val="30"/>
          <w:szCs w:val="30"/>
        </w:rPr>
        <w:t>（四）统筹推进管理体制和保障机制改革</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_Toc20830 \h </w:instrText>
      </w:r>
      <w:r>
        <w:rPr>
          <w:rFonts w:hint="eastAsia" w:ascii="楷体" w:hAnsi="楷体" w:eastAsia="楷体" w:cs="楷体"/>
          <w:sz w:val="30"/>
          <w:szCs w:val="30"/>
        </w:rPr>
        <w:fldChar w:fldCharType="separate"/>
      </w:r>
      <w:r>
        <w:rPr>
          <w:rFonts w:hint="eastAsia" w:ascii="楷体" w:hAnsi="楷体" w:eastAsia="楷体" w:cs="楷体"/>
          <w:sz w:val="30"/>
          <w:szCs w:val="30"/>
        </w:rPr>
        <w:t>33</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3"/>
        <w:keepNext w:val="0"/>
        <w:keepLines w:val="0"/>
        <w:pageBreakBefore w:val="0"/>
        <w:widowControl w:val="0"/>
        <w:tabs>
          <w:tab w:val="right" w:leader="dot" w:pos="9010"/>
        </w:tabs>
        <w:kinsoku/>
        <w:wordWrap/>
        <w:overflowPunct/>
        <w:topLinePunct w:val="0"/>
        <w:autoSpaceDE/>
        <w:autoSpaceDN/>
        <w:bidi w:val="0"/>
        <w:spacing w:line="540" w:lineRule="exact"/>
        <w:ind w:left="0" w:leftChars="0"/>
        <w:textAlignment w:val="auto"/>
        <w:rPr>
          <w:rFonts w:ascii="楷体" w:hAnsi="楷体" w:eastAsia="楷体" w:cs="楷体"/>
          <w:sz w:val="30"/>
          <w:szCs w:val="30"/>
        </w:rPr>
      </w:pPr>
      <w:r>
        <w:fldChar w:fldCharType="begin"/>
      </w:r>
      <w:r>
        <w:instrText xml:space="preserve"> HYPERLINK \l "_Toc11725" </w:instrText>
      </w:r>
      <w:r>
        <w:fldChar w:fldCharType="separate"/>
      </w:r>
      <w:r>
        <w:rPr>
          <w:rFonts w:hint="eastAsia" w:ascii="黑体" w:hAnsi="黑体" w:eastAsia="黑体" w:cs="黑体"/>
          <w:sz w:val="32"/>
          <w:szCs w:val="32"/>
        </w:rPr>
        <w:t>八、调整优化学校布局结构</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_Toc11725 \h </w:instrText>
      </w:r>
      <w:r>
        <w:rPr>
          <w:rFonts w:hint="eastAsia" w:ascii="楷体" w:hAnsi="楷体" w:eastAsia="楷体" w:cs="楷体"/>
          <w:sz w:val="30"/>
          <w:szCs w:val="30"/>
        </w:rPr>
        <w:fldChar w:fldCharType="separate"/>
      </w:r>
      <w:r>
        <w:rPr>
          <w:rFonts w:hint="eastAsia" w:ascii="楷体" w:hAnsi="楷体" w:eastAsia="楷体" w:cs="楷体"/>
          <w:sz w:val="30"/>
          <w:szCs w:val="30"/>
        </w:rPr>
        <w:t>34</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38"/>
        <w:keepNext w:val="0"/>
        <w:keepLines w:val="0"/>
        <w:pageBreakBefore w:val="0"/>
        <w:widowControl w:val="0"/>
        <w:kinsoku/>
        <w:wordWrap/>
        <w:overflowPunct/>
        <w:topLinePunct w:val="0"/>
        <w:autoSpaceDE/>
        <w:autoSpaceDN/>
        <w:bidi w:val="0"/>
        <w:spacing w:line="540" w:lineRule="exact"/>
        <w:textAlignment w:val="auto"/>
        <w:rPr>
          <w:rFonts w:hint="default" w:ascii="楷体" w:hAnsi="楷体" w:eastAsia="楷体" w:cs="楷体"/>
          <w:sz w:val="30"/>
          <w:szCs w:val="30"/>
        </w:rPr>
      </w:pPr>
      <w:r>
        <w:fldChar w:fldCharType="begin"/>
      </w:r>
      <w:r>
        <w:instrText xml:space="preserve"> HYPERLINK \l "_Toc19888" </w:instrText>
      </w:r>
      <w:r>
        <w:fldChar w:fldCharType="separate"/>
      </w:r>
      <w:r>
        <w:rPr>
          <w:rFonts w:ascii="黑体" w:hAnsi="黑体" w:cs="黑体"/>
          <w:spacing w:val="0"/>
          <w:kern w:val="2"/>
          <w:szCs w:val="32"/>
        </w:rPr>
        <w:t>九、全面提升教育服务区域发展能力</w:t>
      </w:r>
      <w:r>
        <w:rPr>
          <w:rFonts w:ascii="楷体" w:hAnsi="楷体" w:eastAsia="楷体" w:cs="楷体"/>
          <w:sz w:val="30"/>
          <w:szCs w:val="30"/>
        </w:rPr>
        <w:tab/>
      </w:r>
      <w:r>
        <w:rPr>
          <w:rFonts w:ascii="楷体" w:hAnsi="楷体" w:eastAsia="楷体" w:cs="楷体"/>
          <w:sz w:val="30"/>
          <w:szCs w:val="30"/>
        </w:rPr>
        <w:fldChar w:fldCharType="begin"/>
      </w:r>
      <w:r>
        <w:rPr>
          <w:rFonts w:ascii="楷体" w:hAnsi="楷体" w:eastAsia="楷体" w:cs="楷体"/>
          <w:sz w:val="30"/>
          <w:szCs w:val="30"/>
        </w:rPr>
        <w:instrText xml:space="preserve"> PAGEREF _Toc19888 \h </w:instrText>
      </w:r>
      <w:r>
        <w:rPr>
          <w:rFonts w:ascii="楷体" w:hAnsi="楷体" w:eastAsia="楷体" w:cs="楷体"/>
          <w:sz w:val="30"/>
          <w:szCs w:val="30"/>
        </w:rPr>
        <w:fldChar w:fldCharType="separate"/>
      </w:r>
      <w:r>
        <w:rPr>
          <w:rFonts w:ascii="楷体" w:hAnsi="楷体" w:eastAsia="楷体" w:cs="楷体"/>
          <w:sz w:val="30"/>
          <w:szCs w:val="30"/>
        </w:rPr>
        <w:t>36</w:t>
      </w:r>
      <w:r>
        <w:rPr>
          <w:rFonts w:ascii="楷体" w:hAnsi="楷体" w:eastAsia="楷体" w:cs="楷体"/>
          <w:sz w:val="30"/>
          <w:szCs w:val="30"/>
        </w:rPr>
        <w:fldChar w:fldCharType="end"/>
      </w:r>
      <w:r>
        <w:rPr>
          <w:rFonts w:ascii="楷体" w:hAnsi="楷体" w:eastAsia="楷体" w:cs="楷体"/>
          <w:sz w:val="30"/>
          <w:szCs w:val="30"/>
        </w:rPr>
        <w:fldChar w:fldCharType="end"/>
      </w:r>
    </w:p>
    <w:p>
      <w:pPr>
        <w:pStyle w:val="13"/>
        <w:keepNext w:val="0"/>
        <w:keepLines w:val="0"/>
        <w:pageBreakBefore w:val="0"/>
        <w:widowControl w:val="0"/>
        <w:tabs>
          <w:tab w:val="right" w:leader="dot" w:pos="9010"/>
        </w:tabs>
        <w:kinsoku/>
        <w:wordWrap/>
        <w:overflowPunct/>
        <w:topLinePunct w:val="0"/>
        <w:autoSpaceDE/>
        <w:autoSpaceDN/>
        <w:bidi w:val="0"/>
        <w:spacing w:line="540" w:lineRule="exact"/>
        <w:textAlignment w:val="auto"/>
        <w:rPr>
          <w:rFonts w:ascii="楷体" w:hAnsi="楷体" w:eastAsia="楷体" w:cs="楷体"/>
          <w:sz w:val="30"/>
          <w:szCs w:val="30"/>
        </w:rPr>
      </w:pPr>
      <w:r>
        <w:fldChar w:fldCharType="begin"/>
      </w:r>
      <w:r>
        <w:instrText xml:space="preserve"> HYPERLINK \l "_Toc32265" </w:instrText>
      </w:r>
      <w:r>
        <w:fldChar w:fldCharType="separate"/>
      </w:r>
      <w:r>
        <w:rPr>
          <w:rFonts w:hint="eastAsia" w:ascii="楷体" w:hAnsi="楷体" w:eastAsia="楷体" w:cs="楷体"/>
          <w:bCs/>
          <w:sz w:val="30"/>
          <w:szCs w:val="30"/>
        </w:rPr>
        <w:t>（一）加大驻马店市支柱产业和现代服务业人才培养力度</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_Toc32265 \h </w:instrText>
      </w:r>
      <w:r>
        <w:rPr>
          <w:rFonts w:hint="eastAsia" w:ascii="楷体" w:hAnsi="楷体" w:eastAsia="楷体" w:cs="楷体"/>
          <w:sz w:val="30"/>
          <w:szCs w:val="30"/>
        </w:rPr>
        <w:fldChar w:fldCharType="separate"/>
      </w:r>
      <w:r>
        <w:rPr>
          <w:rFonts w:hint="eastAsia" w:ascii="楷体" w:hAnsi="楷体" w:eastAsia="楷体" w:cs="楷体"/>
          <w:sz w:val="30"/>
          <w:szCs w:val="30"/>
        </w:rPr>
        <w:t>36</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3"/>
        <w:keepNext w:val="0"/>
        <w:keepLines w:val="0"/>
        <w:pageBreakBefore w:val="0"/>
        <w:widowControl w:val="0"/>
        <w:tabs>
          <w:tab w:val="right" w:leader="dot" w:pos="9010"/>
        </w:tabs>
        <w:kinsoku/>
        <w:wordWrap/>
        <w:overflowPunct/>
        <w:topLinePunct w:val="0"/>
        <w:autoSpaceDE/>
        <w:autoSpaceDN/>
        <w:bidi w:val="0"/>
        <w:spacing w:line="540" w:lineRule="exact"/>
        <w:textAlignment w:val="auto"/>
        <w:rPr>
          <w:rFonts w:ascii="楷体" w:hAnsi="楷体" w:eastAsia="楷体" w:cs="楷体"/>
          <w:sz w:val="30"/>
          <w:szCs w:val="30"/>
        </w:rPr>
      </w:pPr>
      <w:r>
        <w:fldChar w:fldCharType="begin"/>
      </w:r>
      <w:r>
        <w:instrText xml:space="preserve"> HYPERLINK \l "_Toc2244" </w:instrText>
      </w:r>
      <w:r>
        <w:fldChar w:fldCharType="separate"/>
      </w:r>
      <w:r>
        <w:rPr>
          <w:rFonts w:hint="eastAsia" w:ascii="楷体" w:hAnsi="楷体" w:eastAsia="楷体" w:cs="楷体"/>
          <w:bCs/>
          <w:sz w:val="30"/>
          <w:szCs w:val="30"/>
        </w:rPr>
        <w:t>（二）夯实农业农村现代化人才基础</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_Toc2244 \h </w:instrText>
      </w:r>
      <w:r>
        <w:rPr>
          <w:rFonts w:hint="eastAsia" w:ascii="楷体" w:hAnsi="楷体" w:eastAsia="楷体" w:cs="楷体"/>
          <w:sz w:val="30"/>
          <w:szCs w:val="30"/>
        </w:rPr>
        <w:fldChar w:fldCharType="separate"/>
      </w:r>
      <w:r>
        <w:rPr>
          <w:rFonts w:hint="eastAsia" w:ascii="楷体" w:hAnsi="楷体" w:eastAsia="楷体" w:cs="楷体"/>
          <w:sz w:val="30"/>
          <w:szCs w:val="30"/>
        </w:rPr>
        <w:t>37</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3"/>
        <w:keepNext w:val="0"/>
        <w:keepLines w:val="0"/>
        <w:pageBreakBefore w:val="0"/>
        <w:widowControl w:val="0"/>
        <w:tabs>
          <w:tab w:val="right" w:leader="dot" w:pos="9010"/>
        </w:tabs>
        <w:kinsoku/>
        <w:wordWrap/>
        <w:overflowPunct/>
        <w:topLinePunct w:val="0"/>
        <w:autoSpaceDE/>
        <w:autoSpaceDN/>
        <w:bidi w:val="0"/>
        <w:spacing w:line="540" w:lineRule="exact"/>
        <w:textAlignment w:val="auto"/>
        <w:rPr>
          <w:rFonts w:ascii="楷体" w:hAnsi="楷体" w:eastAsia="楷体" w:cs="楷体"/>
          <w:sz w:val="30"/>
          <w:szCs w:val="30"/>
        </w:rPr>
      </w:pPr>
      <w:r>
        <w:fldChar w:fldCharType="begin"/>
      </w:r>
      <w:r>
        <w:instrText xml:space="preserve"> HYPERLINK \l "_Toc6898" </w:instrText>
      </w:r>
      <w:r>
        <w:fldChar w:fldCharType="separate"/>
      </w:r>
      <w:r>
        <w:rPr>
          <w:rFonts w:hint="eastAsia" w:ascii="楷体" w:hAnsi="楷体" w:eastAsia="楷体" w:cs="楷体"/>
          <w:bCs/>
          <w:sz w:val="30"/>
          <w:szCs w:val="30"/>
        </w:rPr>
        <w:t>（三）统筹推进乡村教育振兴</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_Toc6898 \h </w:instrText>
      </w:r>
      <w:r>
        <w:rPr>
          <w:rFonts w:hint="eastAsia" w:ascii="楷体" w:hAnsi="楷体" w:eastAsia="楷体" w:cs="楷体"/>
          <w:sz w:val="30"/>
          <w:szCs w:val="30"/>
        </w:rPr>
        <w:fldChar w:fldCharType="separate"/>
      </w:r>
      <w:r>
        <w:rPr>
          <w:rFonts w:hint="eastAsia" w:ascii="楷体" w:hAnsi="楷体" w:eastAsia="楷体" w:cs="楷体"/>
          <w:sz w:val="30"/>
          <w:szCs w:val="30"/>
        </w:rPr>
        <w:t>37</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3"/>
        <w:keepNext w:val="0"/>
        <w:keepLines w:val="0"/>
        <w:pageBreakBefore w:val="0"/>
        <w:widowControl w:val="0"/>
        <w:tabs>
          <w:tab w:val="right" w:leader="dot" w:pos="9010"/>
        </w:tabs>
        <w:kinsoku/>
        <w:wordWrap/>
        <w:overflowPunct/>
        <w:topLinePunct w:val="0"/>
        <w:autoSpaceDE/>
        <w:autoSpaceDN/>
        <w:bidi w:val="0"/>
        <w:spacing w:line="540" w:lineRule="exact"/>
        <w:textAlignment w:val="auto"/>
        <w:rPr>
          <w:rFonts w:ascii="楷体" w:hAnsi="楷体" w:eastAsia="楷体" w:cs="楷体"/>
          <w:sz w:val="30"/>
          <w:szCs w:val="30"/>
        </w:rPr>
      </w:pPr>
      <w:r>
        <w:fldChar w:fldCharType="begin"/>
      </w:r>
      <w:r>
        <w:instrText xml:space="preserve"> HYPERLINK \l "_Toc31801" </w:instrText>
      </w:r>
      <w:r>
        <w:fldChar w:fldCharType="separate"/>
      </w:r>
      <w:r>
        <w:rPr>
          <w:rFonts w:hint="eastAsia" w:ascii="楷体" w:hAnsi="楷体" w:eastAsia="楷体" w:cs="楷体"/>
          <w:bCs/>
          <w:sz w:val="30"/>
          <w:szCs w:val="30"/>
        </w:rPr>
        <w:t>（四）加快推进大别山革命老区教育振兴</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_Toc31801 \h </w:instrText>
      </w:r>
      <w:r>
        <w:rPr>
          <w:rFonts w:hint="eastAsia" w:ascii="楷体" w:hAnsi="楷体" w:eastAsia="楷体" w:cs="楷体"/>
          <w:sz w:val="30"/>
          <w:szCs w:val="30"/>
        </w:rPr>
        <w:fldChar w:fldCharType="separate"/>
      </w:r>
      <w:r>
        <w:rPr>
          <w:rFonts w:hint="eastAsia" w:ascii="楷体" w:hAnsi="楷体" w:eastAsia="楷体" w:cs="楷体"/>
          <w:sz w:val="30"/>
          <w:szCs w:val="30"/>
        </w:rPr>
        <w:t>38</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38"/>
        <w:keepNext w:val="0"/>
        <w:keepLines w:val="0"/>
        <w:pageBreakBefore w:val="0"/>
        <w:widowControl w:val="0"/>
        <w:kinsoku/>
        <w:wordWrap/>
        <w:overflowPunct/>
        <w:topLinePunct w:val="0"/>
        <w:autoSpaceDE/>
        <w:autoSpaceDN/>
        <w:bidi w:val="0"/>
        <w:spacing w:line="540" w:lineRule="exact"/>
        <w:textAlignment w:val="auto"/>
        <w:rPr>
          <w:rFonts w:hint="default" w:ascii="楷体" w:hAnsi="楷体" w:eastAsia="楷体" w:cs="楷体"/>
          <w:sz w:val="30"/>
          <w:szCs w:val="30"/>
        </w:rPr>
      </w:pPr>
      <w:r>
        <w:fldChar w:fldCharType="begin"/>
      </w:r>
      <w:r>
        <w:instrText xml:space="preserve"> HYPERLINK \l "_Toc17436" </w:instrText>
      </w:r>
      <w:r>
        <w:fldChar w:fldCharType="separate"/>
      </w:r>
      <w:r>
        <w:rPr>
          <w:rFonts w:ascii="黑体" w:hAnsi="黑体" w:cs="黑体"/>
          <w:spacing w:val="0"/>
          <w:kern w:val="2"/>
          <w:szCs w:val="32"/>
        </w:rPr>
        <w:t>十、着力建设高素质专业化创新型教师队伍</w:t>
      </w:r>
      <w:r>
        <w:rPr>
          <w:rFonts w:ascii="楷体" w:hAnsi="楷体" w:eastAsia="楷体" w:cs="楷体"/>
          <w:sz w:val="30"/>
          <w:szCs w:val="30"/>
        </w:rPr>
        <w:tab/>
      </w:r>
      <w:r>
        <w:rPr>
          <w:rFonts w:ascii="楷体" w:hAnsi="楷体" w:eastAsia="楷体" w:cs="楷体"/>
          <w:sz w:val="30"/>
          <w:szCs w:val="30"/>
        </w:rPr>
        <w:fldChar w:fldCharType="begin"/>
      </w:r>
      <w:r>
        <w:rPr>
          <w:rFonts w:ascii="楷体" w:hAnsi="楷体" w:eastAsia="楷体" w:cs="楷体"/>
          <w:sz w:val="30"/>
          <w:szCs w:val="30"/>
        </w:rPr>
        <w:instrText xml:space="preserve"> PAGEREF _Toc17436 \h </w:instrText>
      </w:r>
      <w:r>
        <w:rPr>
          <w:rFonts w:ascii="楷体" w:hAnsi="楷体" w:eastAsia="楷体" w:cs="楷体"/>
          <w:sz w:val="30"/>
          <w:szCs w:val="30"/>
        </w:rPr>
        <w:fldChar w:fldCharType="separate"/>
      </w:r>
      <w:r>
        <w:rPr>
          <w:rFonts w:ascii="楷体" w:hAnsi="楷体" w:eastAsia="楷体" w:cs="楷体"/>
          <w:sz w:val="30"/>
          <w:szCs w:val="30"/>
        </w:rPr>
        <w:t>39</w:t>
      </w:r>
      <w:r>
        <w:rPr>
          <w:rFonts w:ascii="楷体" w:hAnsi="楷体" w:eastAsia="楷体" w:cs="楷体"/>
          <w:sz w:val="30"/>
          <w:szCs w:val="30"/>
        </w:rPr>
        <w:fldChar w:fldCharType="end"/>
      </w:r>
      <w:r>
        <w:rPr>
          <w:rFonts w:ascii="楷体" w:hAnsi="楷体" w:eastAsia="楷体" w:cs="楷体"/>
          <w:sz w:val="30"/>
          <w:szCs w:val="30"/>
        </w:rPr>
        <w:fldChar w:fldCharType="end"/>
      </w:r>
    </w:p>
    <w:p>
      <w:pPr>
        <w:pStyle w:val="13"/>
        <w:keepNext w:val="0"/>
        <w:keepLines w:val="0"/>
        <w:pageBreakBefore w:val="0"/>
        <w:widowControl w:val="0"/>
        <w:tabs>
          <w:tab w:val="right" w:leader="dot" w:pos="9010"/>
        </w:tabs>
        <w:kinsoku/>
        <w:wordWrap/>
        <w:overflowPunct/>
        <w:topLinePunct w:val="0"/>
        <w:autoSpaceDE/>
        <w:autoSpaceDN/>
        <w:bidi w:val="0"/>
        <w:spacing w:line="540" w:lineRule="exact"/>
        <w:textAlignment w:val="auto"/>
        <w:rPr>
          <w:rFonts w:ascii="楷体" w:hAnsi="楷体" w:eastAsia="楷体" w:cs="楷体"/>
          <w:sz w:val="30"/>
          <w:szCs w:val="30"/>
        </w:rPr>
      </w:pPr>
      <w:r>
        <w:fldChar w:fldCharType="begin"/>
      </w:r>
      <w:r>
        <w:instrText xml:space="preserve"> HYPERLINK \l "_Toc20413" </w:instrText>
      </w:r>
      <w:r>
        <w:fldChar w:fldCharType="separate"/>
      </w:r>
      <w:r>
        <w:rPr>
          <w:rFonts w:hint="eastAsia" w:ascii="楷体" w:hAnsi="楷体" w:eastAsia="楷体" w:cs="楷体"/>
          <w:bCs/>
          <w:sz w:val="30"/>
          <w:szCs w:val="30"/>
        </w:rPr>
        <w:t>（一）加强师德师风建设</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_Toc20413 \h </w:instrText>
      </w:r>
      <w:r>
        <w:rPr>
          <w:rFonts w:hint="eastAsia" w:ascii="楷体" w:hAnsi="楷体" w:eastAsia="楷体" w:cs="楷体"/>
          <w:sz w:val="30"/>
          <w:szCs w:val="30"/>
        </w:rPr>
        <w:fldChar w:fldCharType="separate"/>
      </w:r>
      <w:r>
        <w:rPr>
          <w:rFonts w:hint="eastAsia" w:ascii="楷体" w:hAnsi="楷体" w:eastAsia="楷体" w:cs="楷体"/>
          <w:sz w:val="30"/>
          <w:szCs w:val="30"/>
        </w:rPr>
        <w:t>39</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3"/>
        <w:keepNext w:val="0"/>
        <w:keepLines w:val="0"/>
        <w:pageBreakBefore w:val="0"/>
        <w:widowControl w:val="0"/>
        <w:tabs>
          <w:tab w:val="right" w:leader="dot" w:pos="9010"/>
        </w:tabs>
        <w:kinsoku/>
        <w:wordWrap/>
        <w:overflowPunct/>
        <w:topLinePunct w:val="0"/>
        <w:autoSpaceDE/>
        <w:autoSpaceDN/>
        <w:bidi w:val="0"/>
        <w:spacing w:line="540" w:lineRule="exact"/>
        <w:textAlignment w:val="auto"/>
        <w:rPr>
          <w:rFonts w:ascii="楷体" w:hAnsi="楷体" w:eastAsia="楷体" w:cs="楷体"/>
          <w:sz w:val="30"/>
          <w:szCs w:val="30"/>
        </w:rPr>
      </w:pPr>
      <w:r>
        <w:fldChar w:fldCharType="begin"/>
      </w:r>
      <w:r>
        <w:instrText xml:space="preserve"> HYPERLINK \l "_Toc20393" </w:instrText>
      </w:r>
      <w:r>
        <w:fldChar w:fldCharType="separate"/>
      </w:r>
      <w:r>
        <w:rPr>
          <w:rFonts w:hint="eastAsia" w:ascii="楷体" w:hAnsi="楷体" w:eastAsia="楷体" w:cs="楷体"/>
          <w:bCs/>
          <w:sz w:val="30"/>
          <w:szCs w:val="30"/>
        </w:rPr>
        <w:t>（二）优化教师队伍资源统筹配置</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_Toc20393 \h </w:instrText>
      </w:r>
      <w:r>
        <w:rPr>
          <w:rFonts w:hint="eastAsia" w:ascii="楷体" w:hAnsi="楷体" w:eastAsia="楷体" w:cs="楷体"/>
          <w:sz w:val="30"/>
          <w:szCs w:val="30"/>
        </w:rPr>
        <w:fldChar w:fldCharType="separate"/>
      </w:r>
      <w:r>
        <w:rPr>
          <w:rFonts w:hint="eastAsia" w:ascii="楷体" w:hAnsi="楷体" w:eastAsia="楷体" w:cs="楷体"/>
          <w:sz w:val="30"/>
          <w:szCs w:val="30"/>
        </w:rPr>
        <w:t>41</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3"/>
        <w:keepNext w:val="0"/>
        <w:keepLines w:val="0"/>
        <w:pageBreakBefore w:val="0"/>
        <w:widowControl w:val="0"/>
        <w:tabs>
          <w:tab w:val="right" w:leader="dot" w:pos="9010"/>
        </w:tabs>
        <w:kinsoku/>
        <w:wordWrap/>
        <w:overflowPunct/>
        <w:topLinePunct w:val="0"/>
        <w:autoSpaceDE/>
        <w:autoSpaceDN/>
        <w:bidi w:val="0"/>
        <w:spacing w:line="540" w:lineRule="exact"/>
        <w:textAlignment w:val="auto"/>
        <w:rPr>
          <w:rFonts w:ascii="楷体" w:hAnsi="楷体" w:eastAsia="楷体" w:cs="楷体"/>
          <w:sz w:val="30"/>
          <w:szCs w:val="30"/>
        </w:rPr>
      </w:pPr>
      <w:r>
        <w:fldChar w:fldCharType="begin"/>
      </w:r>
      <w:r>
        <w:instrText xml:space="preserve"> HYPERLINK \l "_Toc16747" </w:instrText>
      </w:r>
      <w:r>
        <w:fldChar w:fldCharType="separate"/>
      </w:r>
      <w:r>
        <w:rPr>
          <w:rFonts w:hint="eastAsia" w:ascii="楷体" w:hAnsi="楷体" w:eastAsia="楷体" w:cs="楷体"/>
          <w:bCs/>
          <w:sz w:val="30"/>
          <w:szCs w:val="30"/>
        </w:rPr>
        <w:t>（三）完善教师管理体制机制</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_Toc16747 \h </w:instrText>
      </w:r>
      <w:r>
        <w:rPr>
          <w:rFonts w:hint="eastAsia" w:ascii="楷体" w:hAnsi="楷体" w:eastAsia="楷体" w:cs="楷体"/>
          <w:sz w:val="30"/>
          <w:szCs w:val="30"/>
        </w:rPr>
        <w:fldChar w:fldCharType="separate"/>
      </w:r>
      <w:r>
        <w:rPr>
          <w:rFonts w:hint="eastAsia" w:ascii="楷体" w:hAnsi="楷体" w:eastAsia="楷体" w:cs="楷体"/>
          <w:sz w:val="30"/>
          <w:szCs w:val="30"/>
        </w:rPr>
        <w:t>44</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3"/>
        <w:keepNext w:val="0"/>
        <w:keepLines w:val="0"/>
        <w:pageBreakBefore w:val="0"/>
        <w:widowControl w:val="0"/>
        <w:tabs>
          <w:tab w:val="right" w:leader="dot" w:pos="9010"/>
        </w:tabs>
        <w:kinsoku/>
        <w:wordWrap/>
        <w:overflowPunct/>
        <w:topLinePunct w:val="0"/>
        <w:autoSpaceDE/>
        <w:autoSpaceDN/>
        <w:bidi w:val="0"/>
        <w:spacing w:line="540" w:lineRule="exact"/>
        <w:textAlignment w:val="auto"/>
        <w:rPr>
          <w:rFonts w:ascii="楷体" w:hAnsi="楷体" w:eastAsia="楷体" w:cs="楷体"/>
          <w:sz w:val="30"/>
          <w:szCs w:val="30"/>
        </w:rPr>
      </w:pPr>
      <w:r>
        <w:fldChar w:fldCharType="begin"/>
      </w:r>
      <w:r>
        <w:instrText xml:space="preserve"> HYPERLINK \l "_Toc18881" </w:instrText>
      </w:r>
      <w:r>
        <w:fldChar w:fldCharType="separate"/>
      </w:r>
      <w:r>
        <w:rPr>
          <w:rFonts w:hint="eastAsia" w:ascii="楷体" w:hAnsi="楷体" w:eastAsia="楷体" w:cs="楷体"/>
          <w:bCs/>
          <w:sz w:val="30"/>
          <w:szCs w:val="30"/>
        </w:rPr>
        <w:t>（四）着力提升教师地位待遇</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_Toc18881 \h </w:instrText>
      </w:r>
      <w:r>
        <w:rPr>
          <w:rFonts w:hint="eastAsia" w:ascii="楷体" w:hAnsi="楷体" w:eastAsia="楷体" w:cs="楷体"/>
          <w:sz w:val="30"/>
          <w:szCs w:val="30"/>
        </w:rPr>
        <w:fldChar w:fldCharType="separate"/>
      </w:r>
      <w:r>
        <w:rPr>
          <w:rFonts w:hint="eastAsia" w:ascii="楷体" w:hAnsi="楷体" w:eastAsia="楷体" w:cs="楷体"/>
          <w:sz w:val="30"/>
          <w:szCs w:val="30"/>
        </w:rPr>
        <w:t>46</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1"/>
        <w:keepNext w:val="0"/>
        <w:keepLines w:val="0"/>
        <w:pageBreakBefore w:val="0"/>
        <w:widowControl w:val="0"/>
        <w:tabs>
          <w:tab w:val="right" w:leader="dot" w:pos="9010"/>
        </w:tabs>
        <w:kinsoku/>
        <w:wordWrap/>
        <w:overflowPunct/>
        <w:topLinePunct w:val="0"/>
        <w:autoSpaceDE/>
        <w:autoSpaceDN/>
        <w:bidi w:val="0"/>
        <w:spacing w:line="540" w:lineRule="exact"/>
        <w:textAlignment w:val="auto"/>
        <w:rPr>
          <w:rFonts w:ascii="楷体" w:hAnsi="楷体" w:eastAsia="楷体" w:cs="楷体"/>
          <w:sz w:val="30"/>
          <w:szCs w:val="30"/>
        </w:rPr>
      </w:pPr>
      <w:r>
        <w:fldChar w:fldCharType="begin"/>
      </w:r>
      <w:r>
        <w:instrText xml:space="preserve"> HYPERLINK \l "_Toc16734" </w:instrText>
      </w:r>
      <w:r>
        <w:fldChar w:fldCharType="separate"/>
      </w:r>
      <w:r>
        <w:rPr>
          <w:rFonts w:hint="eastAsia" w:ascii="黑体" w:hAnsi="黑体" w:eastAsia="黑体" w:cs="黑体"/>
          <w:sz w:val="32"/>
          <w:szCs w:val="32"/>
        </w:rPr>
        <w:t>十一、推动信息化时代的教育创新</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_Toc16734 \h </w:instrText>
      </w:r>
      <w:r>
        <w:rPr>
          <w:rFonts w:hint="eastAsia" w:ascii="楷体" w:hAnsi="楷体" w:eastAsia="楷体" w:cs="楷体"/>
          <w:sz w:val="30"/>
          <w:szCs w:val="30"/>
        </w:rPr>
        <w:fldChar w:fldCharType="separate"/>
      </w:r>
      <w:r>
        <w:rPr>
          <w:rFonts w:hint="eastAsia" w:ascii="楷体" w:hAnsi="楷体" w:eastAsia="楷体" w:cs="楷体"/>
          <w:sz w:val="30"/>
          <w:szCs w:val="30"/>
        </w:rPr>
        <w:t>47</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3"/>
        <w:keepNext w:val="0"/>
        <w:keepLines w:val="0"/>
        <w:pageBreakBefore w:val="0"/>
        <w:widowControl w:val="0"/>
        <w:tabs>
          <w:tab w:val="right" w:leader="dot" w:pos="9010"/>
        </w:tabs>
        <w:kinsoku/>
        <w:wordWrap/>
        <w:overflowPunct/>
        <w:topLinePunct w:val="0"/>
        <w:autoSpaceDE/>
        <w:autoSpaceDN/>
        <w:bidi w:val="0"/>
        <w:spacing w:line="540" w:lineRule="exact"/>
        <w:textAlignment w:val="auto"/>
        <w:rPr>
          <w:rFonts w:ascii="楷体" w:hAnsi="楷体" w:eastAsia="楷体" w:cs="楷体"/>
          <w:sz w:val="30"/>
          <w:szCs w:val="30"/>
        </w:rPr>
      </w:pPr>
      <w:r>
        <w:fldChar w:fldCharType="begin"/>
      </w:r>
      <w:r>
        <w:instrText xml:space="preserve"> HYPERLINK \l "_Toc27743" </w:instrText>
      </w:r>
      <w:r>
        <w:fldChar w:fldCharType="separate"/>
      </w:r>
      <w:r>
        <w:rPr>
          <w:rFonts w:hint="eastAsia" w:ascii="楷体" w:hAnsi="楷体" w:eastAsia="楷体" w:cs="楷体"/>
          <w:bCs/>
          <w:sz w:val="30"/>
          <w:szCs w:val="30"/>
        </w:rPr>
        <w:t>（一）实施教育新基建工程</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_Toc27743 \h </w:instrText>
      </w:r>
      <w:r>
        <w:rPr>
          <w:rFonts w:hint="eastAsia" w:ascii="楷体" w:hAnsi="楷体" w:eastAsia="楷体" w:cs="楷体"/>
          <w:sz w:val="30"/>
          <w:szCs w:val="30"/>
        </w:rPr>
        <w:fldChar w:fldCharType="separate"/>
      </w:r>
      <w:r>
        <w:rPr>
          <w:rFonts w:hint="eastAsia" w:ascii="楷体" w:hAnsi="楷体" w:eastAsia="楷体" w:cs="楷体"/>
          <w:sz w:val="30"/>
          <w:szCs w:val="30"/>
        </w:rPr>
        <w:t>48</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3"/>
        <w:keepNext w:val="0"/>
        <w:keepLines w:val="0"/>
        <w:pageBreakBefore w:val="0"/>
        <w:widowControl w:val="0"/>
        <w:tabs>
          <w:tab w:val="right" w:leader="dot" w:pos="9010"/>
        </w:tabs>
        <w:kinsoku/>
        <w:wordWrap/>
        <w:overflowPunct/>
        <w:topLinePunct w:val="0"/>
        <w:autoSpaceDE/>
        <w:autoSpaceDN/>
        <w:bidi w:val="0"/>
        <w:spacing w:line="540" w:lineRule="exact"/>
        <w:textAlignment w:val="auto"/>
        <w:rPr>
          <w:rFonts w:ascii="楷体" w:hAnsi="楷体" w:eastAsia="楷体" w:cs="楷体"/>
          <w:sz w:val="30"/>
          <w:szCs w:val="30"/>
        </w:rPr>
      </w:pPr>
      <w:r>
        <w:fldChar w:fldCharType="begin"/>
      </w:r>
      <w:r>
        <w:instrText xml:space="preserve"> HYPERLINK \l "_Toc10947" </w:instrText>
      </w:r>
      <w:r>
        <w:fldChar w:fldCharType="separate"/>
      </w:r>
      <w:r>
        <w:rPr>
          <w:rFonts w:hint="eastAsia" w:ascii="楷体" w:hAnsi="楷体" w:eastAsia="楷体" w:cs="楷体"/>
          <w:bCs/>
          <w:sz w:val="30"/>
          <w:szCs w:val="30"/>
        </w:rPr>
        <w:t>（二）开发应用优质数字教育资源</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_Toc10947 \h </w:instrText>
      </w:r>
      <w:r>
        <w:rPr>
          <w:rFonts w:hint="eastAsia" w:ascii="楷体" w:hAnsi="楷体" w:eastAsia="楷体" w:cs="楷体"/>
          <w:sz w:val="30"/>
          <w:szCs w:val="30"/>
        </w:rPr>
        <w:fldChar w:fldCharType="separate"/>
      </w:r>
      <w:r>
        <w:rPr>
          <w:rFonts w:hint="eastAsia" w:ascii="楷体" w:hAnsi="楷体" w:eastAsia="楷体" w:cs="楷体"/>
          <w:sz w:val="30"/>
          <w:szCs w:val="30"/>
        </w:rPr>
        <w:t>48</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3"/>
        <w:keepNext w:val="0"/>
        <w:keepLines w:val="0"/>
        <w:pageBreakBefore w:val="0"/>
        <w:widowControl w:val="0"/>
        <w:tabs>
          <w:tab w:val="right" w:leader="dot" w:pos="9010"/>
        </w:tabs>
        <w:kinsoku/>
        <w:wordWrap/>
        <w:overflowPunct/>
        <w:topLinePunct w:val="0"/>
        <w:autoSpaceDE/>
        <w:autoSpaceDN/>
        <w:bidi w:val="0"/>
        <w:spacing w:line="540" w:lineRule="exact"/>
        <w:textAlignment w:val="auto"/>
        <w:rPr>
          <w:rFonts w:ascii="楷体" w:hAnsi="楷体" w:eastAsia="楷体" w:cs="楷体"/>
          <w:sz w:val="30"/>
          <w:szCs w:val="30"/>
        </w:rPr>
      </w:pPr>
      <w:r>
        <w:fldChar w:fldCharType="begin"/>
      </w:r>
      <w:r>
        <w:instrText xml:space="preserve"> HYPERLINK \l "_Toc4754" </w:instrText>
      </w:r>
      <w:r>
        <w:fldChar w:fldCharType="separate"/>
      </w:r>
      <w:r>
        <w:rPr>
          <w:rFonts w:hint="eastAsia" w:ascii="楷体" w:hAnsi="楷体" w:eastAsia="楷体" w:cs="楷体"/>
          <w:bCs/>
          <w:sz w:val="30"/>
          <w:szCs w:val="30"/>
        </w:rPr>
        <w:t>（三）推动信息技术与教育教学深度融合</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_Toc4754 \h </w:instrText>
      </w:r>
      <w:r>
        <w:rPr>
          <w:rFonts w:hint="eastAsia" w:ascii="楷体" w:hAnsi="楷体" w:eastAsia="楷体" w:cs="楷体"/>
          <w:sz w:val="30"/>
          <w:szCs w:val="30"/>
        </w:rPr>
        <w:fldChar w:fldCharType="separate"/>
      </w:r>
      <w:r>
        <w:rPr>
          <w:rFonts w:hint="eastAsia" w:ascii="楷体" w:hAnsi="楷体" w:eastAsia="楷体" w:cs="楷体"/>
          <w:sz w:val="30"/>
          <w:szCs w:val="30"/>
        </w:rPr>
        <w:t>49</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3"/>
        <w:keepNext w:val="0"/>
        <w:keepLines w:val="0"/>
        <w:pageBreakBefore w:val="0"/>
        <w:widowControl w:val="0"/>
        <w:tabs>
          <w:tab w:val="right" w:leader="dot" w:pos="9010"/>
        </w:tabs>
        <w:kinsoku/>
        <w:wordWrap/>
        <w:overflowPunct/>
        <w:topLinePunct w:val="0"/>
        <w:autoSpaceDE/>
        <w:autoSpaceDN/>
        <w:bidi w:val="0"/>
        <w:spacing w:line="540" w:lineRule="exact"/>
        <w:textAlignment w:val="auto"/>
        <w:rPr>
          <w:rFonts w:ascii="楷体" w:hAnsi="楷体" w:eastAsia="楷体" w:cs="楷体"/>
          <w:sz w:val="30"/>
          <w:szCs w:val="30"/>
        </w:rPr>
      </w:pPr>
      <w:r>
        <w:fldChar w:fldCharType="begin"/>
      </w:r>
      <w:r>
        <w:instrText xml:space="preserve"> HYPERLINK \l "_Toc3744" </w:instrText>
      </w:r>
      <w:r>
        <w:fldChar w:fldCharType="separate"/>
      </w:r>
      <w:r>
        <w:rPr>
          <w:rFonts w:hint="eastAsia" w:ascii="楷体" w:hAnsi="楷体" w:eastAsia="楷体" w:cs="楷体"/>
          <w:bCs/>
          <w:sz w:val="30"/>
          <w:szCs w:val="30"/>
        </w:rPr>
        <w:t>（四）推动网络化智能化教育服务</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_Toc3744 \h </w:instrText>
      </w:r>
      <w:r>
        <w:rPr>
          <w:rFonts w:hint="eastAsia" w:ascii="楷体" w:hAnsi="楷体" w:eastAsia="楷体" w:cs="楷体"/>
          <w:sz w:val="30"/>
          <w:szCs w:val="30"/>
        </w:rPr>
        <w:fldChar w:fldCharType="separate"/>
      </w:r>
      <w:r>
        <w:rPr>
          <w:rFonts w:hint="eastAsia" w:ascii="楷体" w:hAnsi="楷体" w:eastAsia="楷体" w:cs="楷体"/>
          <w:sz w:val="30"/>
          <w:szCs w:val="30"/>
        </w:rPr>
        <w:t>49</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1"/>
        <w:keepNext w:val="0"/>
        <w:keepLines w:val="0"/>
        <w:pageBreakBefore w:val="0"/>
        <w:widowControl w:val="0"/>
        <w:tabs>
          <w:tab w:val="right" w:leader="dot" w:pos="9010"/>
        </w:tabs>
        <w:kinsoku/>
        <w:wordWrap/>
        <w:overflowPunct/>
        <w:topLinePunct w:val="0"/>
        <w:autoSpaceDE/>
        <w:autoSpaceDN/>
        <w:bidi w:val="0"/>
        <w:spacing w:line="540" w:lineRule="exact"/>
        <w:textAlignment w:val="auto"/>
        <w:rPr>
          <w:rFonts w:ascii="楷体" w:hAnsi="楷体" w:eastAsia="楷体" w:cs="楷体"/>
          <w:sz w:val="30"/>
          <w:szCs w:val="30"/>
        </w:rPr>
      </w:pPr>
      <w:r>
        <w:fldChar w:fldCharType="begin"/>
      </w:r>
      <w:r>
        <w:instrText xml:space="preserve"> HYPERLINK \l "_Toc27317" </w:instrText>
      </w:r>
      <w:r>
        <w:fldChar w:fldCharType="separate"/>
      </w:r>
      <w:r>
        <w:rPr>
          <w:rFonts w:hint="eastAsia" w:ascii="黑体" w:hAnsi="黑体" w:eastAsia="黑体" w:cs="黑体"/>
          <w:sz w:val="32"/>
          <w:szCs w:val="32"/>
        </w:rPr>
        <w:t>十二、扩大教育对外开放与合作</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_Toc27317 \h </w:instrText>
      </w:r>
      <w:r>
        <w:rPr>
          <w:rFonts w:hint="eastAsia" w:ascii="楷体" w:hAnsi="楷体" w:eastAsia="楷体" w:cs="楷体"/>
          <w:sz w:val="30"/>
          <w:szCs w:val="30"/>
        </w:rPr>
        <w:fldChar w:fldCharType="separate"/>
      </w:r>
      <w:r>
        <w:rPr>
          <w:rFonts w:hint="eastAsia" w:ascii="楷体" w:hAnsi="楷体" w:eastAsia="楷体" w:cs="楷体"/>
          <w:sz w:val="30"/>
          <w:szCs w:val="30"/>
        </w:rPr>
        <w:t>56</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1"/>
        <w:keepNext w:val="0"/>
        <w:keepLines w:val="0"/>
        <w:pageBreakBefore w:val="0"/>
        <w:widowControl w:val="0"/>
        <w:tabs>
          <w:tab w:val="right" w:leader="dot" w:pos="9010"/>
        </w:tabs>
        <w:kinsoku/>
        <w:wordWrap/>
        <w:overflowPunct/>
        <w:topLinePunct w:val="0"/>
        <w:autoSpaceDE/>
        <w:autoSpaceDN/>
        <w:bidi w:val="0"/>
        <w:spacing w:line="540" w:lineRule="exact"/>
        <w:textAlignment w:val="auto"/>
        <w:rPr>
          <w:rFonts w:ascii="楷体" w:hAnsi="楷体" w:eastAsia="楷体" w:cs="楷体"/>
          <w:sz w:val="30"/>
          <w:szCs w:val="30"/>
        </w:rPr>
      </w:pPr>
      <w:r>
        <w:fldChar w:fldCharType="begin"/>
      </w:r>
      <w:r>
        <w:instrText xml:space="preserve"> HYPERLINK \l "_Toc26025" </w:instrText>
      </w:r>
      <w:r>
        <w:fldChar w:fldCharType="separate"/>
      </w:r>
      <w:r>
        <w:rPr>
          <w:rFonts w:hint="eastAsia" w:ascii="黑体" w:hAnsi="黑体" w:eastAsia="黑体" w:cs="黑体"/>
          <w:sz w:val="32"/>
          <w:szCs w:val="32"/>
        </w:rPr>
        <w:t>十三、推进教育治理体系和治理能力现代化</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_Toc26025 \h </w:instrText>
      </w:r>
      <w:r>
        <w:rPr>
          <w:rFonts w:hint="eastAsia" w:ascii="楷体" w:hAnsi="楷体" w:eastAsia="楷体" w:cs="楷体"/>
          <w:sz w:val="30"/>
          <w:szCs w:val="30"/>
        </w:rPr>
        <w:fldChar w:fldCharType="separate"/>
      </w:r>
      <w:r>
        <w:rPr>
          <w:rFonts w:hint="eastAsia" w:ascii="楷体" w:hAnsi="楷体" w:eastAsia="楷体" w:cs="楷体"/>
          <w:sz w:val="30"/>
          <w:szCs w:val="30"/>
        </w:rPr>
        <w:t>50</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3"/>
        <w:keepNext w:val="0"/>
        <w:keepLines w:val="0"/>
        <w:pageBreakBefore w:val="0"/>
        <w:widowControl w:val="0"/>
        <w:tabs>
          <w:tab w:val="right" w:leader="dot" w:pos="9010"/>
        </w:tabs>
        <w:kinsoku/>
        <w:wordWrap/>
        <w:overflowPunct/>
        <w:topLinePunct w:val="0"/>
        <w:autoSpaceDE/>
        <w:autoSpaceDN/>
        <w:bidi w:val="0"/>
        <w:spacing w:line="540" w:lineRule="exact"/>
        <w:textAlignment w:val="auto"/>
        <w:rPr>
          <w:rFonts w:ascii="楷体" w:hAnsi="楷体" w:eastAsia="楷体" w:cs="楷体"/>
          <w:sz w:val="30"/>
          <w:szCs w:val="30"/>
        </w:rPr>
      </w:pPr>
      <w:r>
        <w:fldChar w:fldCharType="begin"/>
      </w:r>
      <w:r>
        <w:instrText xml:space="preserve"> HYPERLINK \l "_Toc1893" </w:instrText>
      </w:r>
      <w:r>
        <w:fldChar w:fldCharType="separate"/>
      </w:r>
      <w:r>
        <w:rPr>
          <w:rFonts w:hint="eastAsia" w:ascii="楷体" w:hAnsi="楷体" w:eastAsia="楷体" w:cs="楷体"/>
          <w:kern w:val="0"/>
          <w:sz w:val="30"/>
          <w:szCs w:val="30"/>
        </w:rPr>
        <w:t>（一）强化教育法治建设</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_Toc1893 \h </w:instrText>
      </w:r>
      <w:r>
        <w:rPr>
          <w:rFonts w:hint="eastAsia" w:ascii="楷体" w:hAnsi="楷体" w:eastAsia="楷体" w:cs="楷体"/>
          <w:sz w:val="30"/>
          <w:szCs w:val="30"/>
        </w:rPr>
        <w:fldChar w:fldCharType="separate"/>
      </w:r>
      <w:r>
        <w:rPr>
          <w:rFonts w:hint="eastAsia" w:ascii="楷体" w:hAnsi="楷体" w:eastAsia="楷体" w:cs="楷体"/>
          <w:sz w:val="30"/>
          <w:szCs w:val="30"/>
        </w:rPr>
        <w:t>50</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3"/>
        <w:keepNext w:val="0"/>
        <w:keepLines w:val="0"/>
        <w:pageBreakBefore w:val="0"/>
        <w:widowControl w:val="0"/>
        <w:tabs>
          <w:tab w:val="right" w:leader="dot" w:pos="9010"/>
        </w:tabs>
        <w:kinsoku/>
        <w:wordWrap/>
        <w:overflowPunct/>
        <w:topLinePunct w:val="0"/>
        <w:autoSpaceDE/>
        <w:autoSpaceDN/>
        <w:bidi w:val="0"/>
        <w:spacing w:line="540" w:lineRule="exact"/>
        <w:textAlignment w:val="auto"/>
        <w:rPr>
          <w:rFonts w:ascii="楷体" w:hAnsi="楷体" w:eastAsia="楷体" w:cs="楷体"/>
          <w:sz w:val="30"/>
          <w:szCs w:val="30"/>
        </w:rPr>
      </w:pPr>
      <w:r>
        <w:fldChar w:fldCharType="begin"/>
      </w:r>
      <w:r>
        <w:instrText xml:space="preserve"> HYPERLINK \l "_Toc27093" </w:instrText>
      </w:r>
      <w:r>
        <w:fldChar w:fldCharType="separate"/>
      </w:r>
      <w:r>
        <w:rPr>
          <w:rFonts w:hint="eastAsia" w:ascii="楷体" w:hAnsi="楷体" w:eastAsia="楷体" w:cs="楷体"/>
          <w:kern w:val="0"/>
          <w:sz w:val="30"/>
          <w:szCs w:val="30"/>
        </w:rPr>
        <w:t>（二）健全现代学校制度体系</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_Toc27093 \h </w:instrText>
      </w:r>
      <w:r>
        <w:rPr>
          <w:rFonts w:hint="eastAsia" w:ascii="楷体" w:hAnsi="楷体" w:eastAsia="楷体" w:cs="楷体"/>
          <w:sz w:val="30"/>
          <w:szCs w:val="30"/>
        </w:rPr>
        <w:fldChar w:fldCharType="separate"/>
      </w:r>
      <w:r>
        <w:rPr>
          <w:rFonts w:hint="eastAsia" w:ascii="楷体" w:hAnsi="楷体" w:eastAsia="楷体" w:cs="楷体"/>
          <w:sz w:val="30"/>
          <w:szCs w:val="30"/>
        </w:rPr>
        <w:t>51</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3"/>
        <w:keepNext w:val="0"/>
        <w:keepLines w:val="0"/>
        <w:pageBreakBefore w:val="0"/>
        <w:widowControl w:val="0"/>
        <w:tabs>
          <w:tab w:val="right" w:leader="dot" w:pos="9010"/>
        </w:tabs>
        <w:kinsoku/>
        <w:wordWrap/>
        <w:overflowPunct/>
        <w:topLinePunct w:val="0"/>
        <w:autoSpaceDE/>
        <w:autoSpaceDN/>
        <w:bidi w:val="0"/>
        <w:spacing w:line="540" w:lineRule="exact"/>
        <w:textAlignment w:val="auto"/>
        <w:rPr>
          <w:rFonts w:ascii="楷体" w:hAnsi="楷体" w:eastAsia="楷体" w:cs="楷体"/>
          <w:sz w:val="30"/>
          <w:szCs w:val="30"/>
        </w:rPr>
      </w:pPr>
      <w:r>
        <w:fldChar w:fldCharType="begin"/>
      </w:r>
      <w:r>
        <w:instrText xml:space="preserve"> HYPERLINK \l "_Toc11593" </w:instrText>
      </w:r>
      <w:r>
        <w:fldChar w:fldCharType="separate"/>
      </w:r>
      <w:r>
        <w:rPr>
          <w:rFonts w:hint="eastAsia" w:ascii="楷体" w:hAnsi="楷体" w:eastAsia="楷体" w:cs="楷体"/>
          <w:kern w:val="0"/>
          <w:sz w:val="30"/>
          <w:szCs w:val="30"/>
        </w:rPr>
        <w:t>（三）健全教育督导体制机制</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_Toc11593 \h </w:instrText>
      </w:r>
      <w:r>
        <w:rPr>
          <w:rFonts w:hint="eastAsia" w:ascii="楷体" w:hAnsi="楷体" w:eastAsia="楷体" w:cs="楷体"/>
          <w:sz w:val="30"/>
          <w:szCs w:val="30"/>
        </w:rPr>
        <w:fldChar w:fldCharType="separate"/>
      </w:r>
      <w:r>
        <w:rPr>
          <w:rFonts w:hint="eastAsia" w:ascii="楷体" w:hAnsi="楷体" w:eastAsia="楷体" w:cs="楷体"/>
          <w:sz w:val="30"/>
          <w:szCs w:val="30"/>
        </w:rPr>
        <w:t>52</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3"/>
        <w:keepNext w:val="0"/>
        <w:keepLines w:val="0"/>
        <w:pageBreakBefore w:val="0"/>
        <w:widowControl w:val="0"/>
        <w:tabs>
          <w:tab w:val="right" w:leader="dot" w:pos="9010"/>
        </w:tabs>
        <w:kinsoku/>
        <w:wordWrap/>
        <w:overflowPunct/>
        <w:topLinePunct w:val="0"/>
        <w:autoSpaceDE/>
        <w:autoSpaceDN/>
        <w:bidi w:val="0"/>
        <w:spacing w:line="540" w:lineRule="exact"/>
        <w:textAlignment w:val="auto"/>
        <w:rPr>
          <w:rFonts w:ascii="楷体" w:hAnsi="楷体" w:eastAsia="楷体" w:cs="楷体"/>
          <w:sz w:val="30"/>
          <w:szCs w:val="30"/>
        </w:rPr>
      </w:pPr>
      <w:r>
        <w:fldChar w:fldCharType="begin"/>
      </w:r>
      <w:r>
        <w:instrText xml:space="preserve"> HYPERLINK \l "_Toc7576" </w:instrText>
      </w:r>
      <w:r>
        <w:fldChar w:fldCharType="separate"/>
      </w:r>
      <w:r>
        <w:rPr>
          <w:rFonts w:hint="eastAsia" w:ascii="楷体" w:hAnsi="楷体" w:eastAsia="楷体" w:cs="楷体"/>
          <w:bCs/>
          <w:sz w:val="30"/>
          <w:szCs w:val="30"/>
        </w:rPr>
        <w:t>（四）完善教育领域风险防控机制</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_Toc7576 \h </w:instrText>
      </w:r>
      <w:r>
        <w:rPr>
          <w:rFonts w:hint="eastAsia" w:ascii="楷体" w:hAnsi="楷体" w:eastAsia="楷体" w:cs="楷体"/>
          <w:sz w:val="30"/>
          <w:szCs w:val="30"/>
        </w:rPr>
        <w:fldChar w:fldCharType="separate"/>
      </w:r>
      <w:r>
        <w:rPr>
          <w:rFonts w:hint="eastAsia" w:ascii="楷体" w:hAnsi="楷体" w:eastAsia="楷体" w:cs="楷体"/>
          <w:sz w:val="30"/>
          <w:szCs w:val="30"/>
        </w:rPr>
        <w:t>53</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1"/>
        <w:keepNext w:val="0"/>
        <w:keepLines w:val="0"/>
        <w:pageBreakBefore w:val="0"/>
        <w:widowControl w:val="0"/>
        <w:tabs>
          <w:tab w:val="right" w:leader="dot" w:pos="9010"/>
        </w:tabs>
        <w:kinsoku/>
        <w:wordWrap/>
        <w:overflowPunct/>
        <w:topLinePunct w:val="0"/>
        <w:autoSpaceDE/>
        <w:autoSpaceDN/>
        <w:bidi w:val="0"/>
        <w:spacing w:line="540" w:lineRule="exact"/>
        <w:textAlignment w:val="auto"/>
        <w:rPr>
          <w:rFonts w:ascii="楷体" w:hAnsi="楷体" w:eastAsia="楷体" w:cs="楷体"/>
          <w:sz w:val="30"/>
          <w:szCs w:val="30"/>
        </w:rPr>
      </w:pPr>
      <w:r>
        <w:fldChar w:fldCharType="begin"/>
      </w:r>
      <w:r>
        <w:instrText xml:space="preserve"> HYPERLINK \l "_Toc27612" </w:instrText>
      </w:r>
      <w:r>
        <w:fldChar w:fldCharType="separate"/>
      </w:r>
      <w:r>
        <w:rPr>
          <w:rFonts w:hint="eastAsia" w:ascii="黑体" w:hAnsi="黑体" w:eastAsia="黑体" w:cs="黑体"/>
          <w:sz w:val="32"/>
          <w:szCs w:val="32"/>
        </w:rPr>
        <w:t>十四、健全教育经费投入和管理机制</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_Toc27612 \h </w:instrText>
      </w:r>
      <w:r>
        <w:rPr>
          <w:rFonts w:hint="eastAsia" w:ascii="楷体" w:hAnsi="楷体" w:eastAsia="楷体" w:cs="楷体"/>
          <w:sz w:val="30"/>
          <w:szCs w:val="30"/>
        </w:rPr>
        <w:fldChar w:fldCharType="separate"/>
      </w:r>
      <w:r>
        <w:rPr>
          <w:rFonts w:hint="eastAsia" w:ascii="楷体" w:hAnsi="楷体" w:eastAsia="楷体" w:cs="楷体"/>
          <w:sz w:val="30"/>
          <w:szCs w:val="30"/>
        </w:rPr>
        <w:t>53</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3"/>
        <w:keepNext w:val="0"/>
        <w:keepLines w:val="0"/>
        <w:pageBreakBefore w:val="0"/>
        <w:widowControl w:val="0"/>
        <w:tabs>
          <w:tab w:val="right" w:leader="dot" w:pos="9010"/>
        </w:tabs>
        <w:kinsoku/>
        <w:wordWrap/>
        <w:overflowPunct/>
        <w:topLinePunct w:val="0"/>
        <w:autoSpaceDE/>
        <w:autoSpaceDN/>
        <w:bidi w:val="0"/>
        <w:spacing w:line="540" w:lineRule="exact"/>
        <w:textAlignment w:val="auto"/>
        <w:rPr>
          <w:rFonts w:ascii="楷体" w:hAnsi="楷体" w:eastAsia="楷体" w:cs="楷体"/>
          <w:sz w:val="30"/>
          <w:szCs w:val="30"/>
        </w:rPr>
      </w:pPr>
      <w:r>
        <w:fldChar w:fldCharType="begin"/>
      </w:r>
      <w:r>
        <w:instrText xml:space="preserve"> HYPERLINK \l "_Toc30185" </w:instrText>
      </w:r>
      <w:r>
        <w:fldChar w:fldCharType="separate"/>
      </w:r>
      <w:r>
        <w:rPr>
          <w:rFonts w:hint="eastAsia" w:ascii="楷体" w:hAnsi="楷体" w:eastAsia="楷体" w:cs="楷体"/>
          <w:kern w:val="0"/>
          <w:sz w:val="30"/>
          <w:szCs w:val="30"/>
        </w:rPr>
        <w:t>（一）完善教育投入保障机制</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_Toc30185 \h </w:instrText>
      </w:r>
      <w:r>
        <w:rPr>
          <w:rFonts w:hint="eastAsia" w:ascii="楷体" w:hAnsi="楷体" w:eastAsia="楷体" w:cs="楷体"/>
          <w:sz w:val="30"/>
          <w:szCs w:val="30"/>
        </w:rPr>
        <w:fldChar w:fldCharType="separate"/>
      </w:r>
      <w:r>
        <w:rPr>
          <w:rFonts w:hint="eastAsia" w:ascii="楷体" w:hAnsi="楷体" w:eastAsia="楷体" w:cs="楷体"/>
          <w:sz w:val="30"/>
          <w:szCs w:val="30"/>
        </w:rPr>
        <w:t>54</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3"/>
        <w:keepNext w:val="0"/>
        <w:keepLines w:val="0"/>
        <w:pageBreakBefore w:val="0"/>
        <w:widowControl w:val="0"/>
        <w:tabs>
          <w:tab w:val="right" w:leader="dot" w:pos="9010"/>
        </w:tabs>
        <w:kinsoku/>
        <w:wordWrap/>
        <w:overflowPunct/>
        <w:topLinePunct w:val="0"/>
        <w:autoSpaceDE/>
        <w:autoSpaceDN/>
        <w:bidi w:val="0"/>
        <w:spacing w:line="540" w:lineRule="exact"/>
        <w:textAlignment w:val="auto"/>
        <w:rPr>
          <w:rFonts w:ascii="楷体" w:hAnsi="楷体" w:eastAsia="楷体" w:cs="楷体"/>
          <w:sz w:val="30"/>
          <w:szCs w:val="30"/>
        </w:rPr>
      </w:pPr>
      <w:r>
        <w:fldChar w:fldCharType="begin"/>
      </w:r>
      <w:r>
        <w:instrText xml:space="preserve"> HYPERLINK \l "_Toc16869" </w:instrText>
      </w:r>
      <w:r>
        <w:fldChar w:fldCharType="separate"/>
      </w:r>
      <w:r>
        <w:rPr>
          <w:rFonts w:hint="eastAsia" w:ascii="楷体" w:hAnsi="楷体" w:eastAsia="楷体" w:cs="楷体"/>
          <w:kern w:val="0"/>
          <w:sz w:val="30"/>
          <w:szCs w:val="30"/>
        </w:rPr>
        <w:t>（二）优化教育投入结构</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_Toc16869 \h </w:instrText>
      </w:r>
      <w:r>
        <w:rPr>
          <w:rFonts w:hint="eastAsia" w:ascii="楷体" w:hAnsi="楷体" w:eastAsia="楷体" w:cs="楷体"/>
          <w:sz w:val="30"/>
          <w:szCs w:val="30"/>
        </w:rPr>
        <w:fldChar w:fldCharType="separate"/>
      </w:r>
      <w:r>
        <w:rPr>
          <w:rFonts w:hint="eastAsia" w:ascii="楷体" w:hAnsi="楷体" w:eastAsia="楷体" w:cs="楷体"/>
          <w:sz w:val="30"/>
          <w:szCs w:val="30"/>
        </w:rPr>
        <w:t>54</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3"/>
        <w:keepNext w:val="0"/>
        <w:keepLines w:val="0"/>
        <w:pageBreakBefore w:val="0"/>
        <w:widowControl w:val="0"/>
        <w:tabs>
          <w:tab w:val="right" w:leader="dot" w:pos="9010"/>
        </w:tabs>
        <w:kinsoku/>
        <w:wordWrap/>
        <w:overflowPunct/>
        <w:topLinePunct w:val="0"/>
        <w:autoSpaceDE/>
        <w:autoSpaceDN/>
        <w:bidi w:val="0"/>
        <w:spacing w:line="540" w:lineRule="exact"/>
        <w:textAlignment w:val="auto"/>
        <w:rPr>
          <w:rFonts w:ascii="楷体" w:hAnsi="楷体" w:eastAsia="楷体" w:cs="楷体"/>
          <w:sz w:val="30"/>
          <w:szCs w:val="30"/>
        </w:rPr>
      </w:pPr>
      <w:r>
        <w:fldChar w:fldCharType="begin"/>
      </w:r>
      <w:r>
        <w:instrText xml:space="preserve"> HYPERLINK \l "_Toc1406" </w:instrText>
      </w:r>
      <w:r>
        <w:fldChar w:fldCharType="separate"/>
      </w:r>
      <w:r>
        <w:rPr>
          <w:rFonts w:hint="eastAsia" w:ascii="楷体" w:hAnsi="楷体" w:eastAsia="楷体" w:cs="楷体"/>
          <w:kern w:val="0"/>
          <w:sz w:val="30"/>
          <w:szCs w:val="30"/>
        </w:rPr>
        <w:t>（三）强化教育资助体系建设</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_Toc1406 \h </w:instrText>
      </w:r>
      <w:r>
        <w:rPr>
          <w:rFonts w:hint="eastAsia" w:ascii="楷体" w:hAnsi="楷体" w:eastAsia="楷体" w:cs="楷体"/>
          <w:sz w:val="30"/>
          <w:szCs w:val="30"/>
        </w:rPr>
        <w:fldChar w:fldCharType="separate"/>
      </w:r>
      <w:r>
        <w:rPr>
          <w:rFonts w:hint="eastAsia" w:ascii="楷体" w:hAnsi="楷体" w:eastAsia="楷体" w:cs="楷体"/>
          <w:sz w:val="30"/>
          <w:szCs w:val="30"/>
        </w:rPr>
        <w:t>55</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3"/>
        <w:keepNext w:val="0"/>
        <w:keepLines w:val="0"/>
        <w:pageBreakBefore w:val="0"/>
        <w:widowControl w:val="0"/>
        <w:tabs>
          <w:tab w:val="right" w:leader="dot" w:pos="9010"/>
        </w:tabs>
        <w:kinsoku/>
        <w:wordWrap/>
        <w:overflowPunct/>
        <w:topLinePunct w:val="0"/>
        <w:autoSpaceDE/>
        <w:autoSpaceDN/>
        <w:bidi w:val="0"/>
        <w:spacing w:line="540" w:lineRule="exact"/>
        <w:textAlignment w:val="auto"/>
        <w:rPr>
          <w:rFonts w:ascii="楷体" w:hAnsi="楷体" w:eastAsia="楷体" w:cs="楷体"/>
          <w:sz w:val="30"/>
          <w:szCs w:val="30"/>
        </w:rPr>
      </w:pPr>
      <w:r>
        <w:fldChar w:fldCharType="begin"/>
      </w:r>
      <w:r>
        <w:instrText xml:space="preserve"> HYPERLINK \l "_Toc21048" </w:instrText>
      </w:r>
      <w:r>
        <w:fldChar w:fldCharType="separate"/>
      </w:r>
      <w:r>
        <w:rPr>
          <w:rFonts w:hint="eastAsia" w:ascii="楷体" w:hAnsi="楷体" w:eastAsia="楷体" w:cs="楷体"/>
          <w:kern w:val="0"/>
          <w:sz w:val="30"/>
          <w:szCs w:val="30"/>
        </w:rPr>
        <w:t>（四）提高教育经费使用效益</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_Toc21048 \h </w:instrText>
      </w:r>
      <w:r>
        <w:rPr>
          <w:rFonts w:hint="eastAsia" w:ascii="楷体" w:hAnsi="楷体" w:eastAsia="楷体" w:cs="楷体"/>
          <w:sz w:val="30"/>
          <w:szCs w:val="30"/>
        </w:rPr>
        <w:fldChar w:fldCharType="separate"/>
      </w:r>
      <w:r>
        <w:rPr>
          <w:rFonts w:hint="eastAsia" w:ascii="楷体" w:hAnsi="楷体" w:eastAsia="楷体" w:cs="楷体"/>
          <w:sz w:val="30"/>
          <w:szCs w:val="30"/>
        </w:rPr>
        <w:t>55</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38"/>
        <w:keepNext w:val="0"/>
        <w:keepLines w:val="0"/>
        <w:pageBreakBefore w:val="0"/>
        <w:widowControl w:val="0"/>
        <w:kinsoku/>
        <w:wordWrap/>
        <w:overflowPunct/>
        <w:topLinePunct w:val="0"/>
        <w:autoSpaceDE/>
        <w:autoSpaceDN/>
        <w:bidi w:val="0"/>
        <w:spacing w:line="540" w:lineRule="exact"/>
        <w:textAlignment w:val="auto"/>
        <w:rPr>
          <w:rFonts w:hint="default" w:ascii="楷体" w:hAnsi="楷体" w:eastAsia="楷体" w:cs="楷体"/>
          <w:sz w:val="30"/>
          <w:szCs w:val="30"/>
        </w:rPr>
      </w:pPr>
      <w:r>
        <w:fldChar w:fldCharType="begin"/>
      </w:r>
      <w:r>
        <w:instrText xml:space="preserve"> HYPERLINK \l "_Toc15079" </w:instrText>
      </w:r>
      <w:r>
        <w:fldChar w:fldCharType="separate"/>
      </w:r>
      <w:r>
        <w:rPr>
          <w:rFonts w:ascii="黑体" w:hAnsi="黑体" w:cs="黑体"/>
          <w:spacing w:val="0"/>
          <w:kern w:val="2"/>
          <w:szCs w:val="32"/>
        </w:rPr>
        <w:t>十五、加强党对教育工作的全面领导</w:t>
      </w:r>
      <w:r>
        <w:rPr>
          <w:rFonts w:ascii="楷体" w:hAnsi="楷体" w:eastAsia="楷体" w:cs="楷体"/>
          <w:sz w:val="30"/>
          <w:szCs w:val="30"/>
        </w:rPr>
        <w:tab/>
      </w:r>
      <w:r>
        <w:rPr>
          <w:rFonts w:ascii="楷体" w:hAnsi="楷体" w:eastAsia="楷体" w:cs="楷体"/>
          <w:sz w:val="30"/>
          <w:szCs w:val="30"/>
        </w:rPr>
        <w:fldChar w:fldCharType="begin"/>
      </w:r>
      <w:r>
        <w:rPr>
          <w:rFonts w:ascii="楷体" w:hAnsi="楷体" w:eastAsia="楷体" w:cs="楷体"/>
          <w:sz w:val="30"/>
          <w:szCs w:val="30"/>
        </w:rPr>
        <w:instrText xml:space="preserve"> PAGEREF _Toc15079 \h </w:instrText>
      </w:r>
      <w:r>
        <w:rPr>
          <w:rFonts w:ascii="楷体" w:hAnsi="楷体" w:eastAsia="楷体" w:cs="楷体"/>
          <w:sz w:val="30"/>
          <w:szCs w:val="30"/>
        </w:rPr>
        <w:fldChar w:fldCharType="separate"/>
      </w:r>
      <w:r>
        <w:rPr>
          <w:rFonts w:ascii="楷体" w:hAnsi="楷体" w:eastAsia="楷体" w:cs="楷体"/>
          <w:sz w:val="30"/>
          <w:szCs w:val="30"/>
        </w:rPr>
        <w:t>56</w:t>
      </w:r>
      <w:r>
        <w:rPr>
          <w:rFonts w:ascii="楷体" w:hAnsi="楷体" w:eastAsia="楷体" w:cs="楷体"/>
          <w:sz w:val="30"/>
          <w:szCs w:val="30"/>
        </w:rPr>
        <w:fldChar w:fldCharType="end"/>
      </w:r>
      <w:r>
        <w:rPr>
          <w:rFonts w:ascii="楷体" w:hAnsi="楷体" w:eastAsia="楷体" w:cs="楷体"/>
          <w:sz w:val="30"/>
          <w:szCs w:val="30"/>
        </w:rPr>
        <w:fldChar w:fldCharType="end"/>
      </w:r>
    </w:p>
    <w:p>
      <w:pPr>
        <w:pStyle w:val="13"/>
        <w:keepNext w:val="0"/>
        <w:keepLines w:val="0"/>
        <w:pageBreakBefore w:val="0"/>
        <w:widowControl w:val="0"/>
        <w:tabs>
          <w:tab w:val="right" w:leader="dot" w:pos="9010"/>
        </w:tabs>
        <w:kinsoku/>
        <w:wordWrap/>
        <w:overflowPunct/>
        <w:topLinePunct w:val="0"/>
        <w:autoSpaceDE/>
        <w:autoSpaceDN/>
        <w:bidi w:val="0"/>
        <w:spacing w:line="540" w:lineRule="exact"/>
        <w:textAlignment w:val="auto"/>
        <w:rPr>
          <w:rFonts w:ascii="楷体" w:hAnsi="楷体" w:eastAsia="楷体" w:cs="楷体"/>
          <w:sz w:val="30"/>
          <w:szCs w:val="30"/>
        </w:rPr>
      </w:pPr>
      <w:r>
        <w:fldChar w:fldCharType="begin"/>
      </w:r>
      <w:r>
        <w:instrText xml:space="preserve"> HYPERLINK \l "_Toc5110" </w:instrText>
      </w:r>
      <w:r>
        <w:fldChar w:fldCharType="separate"/>
      </w:r>
      <w:r>
        <w:rPr>
          <w:rFonts w:hint="eastAsia" w:ascii="楷体" w:hAnsi="楷体" w:eastAsia="楷体" w:cs="楷体"/>
          <w:kern w:val="0"/>
          <w:sz w:val="30"/>
          <w:szCs w:val="30"/>
        </w:rPr>
        <w:t>（一）牢牢掌握党对教育工作的领导权</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_Toc5110 \h </w:instrText>
      </w:r>
      <w:r>
        <w:rPr>
          <w:rFonts w:hint="eastAsia" w:ascii="楷体" w:hAnsi="楷体" w:eastAsia="楷体" w:cs="楷体"/>
          <w:sz w:val="30"/>
          <w:szCs w:val="30"/>
        </w:rPr>
        <w:fldChar w:fldCharType="separate"/>
      </w:r>
      <w:r>
        <w:rPr>
          <w:rFonts w:hint="eastAsia" w:ascii="楷体" w:hAnsi="楷体" w:eastAsia="楷体" w:cs="楷体"/>
          <w:sz w:val="30"/>
          <w:szCs w:val="30"/>
        </w:rPr>
        <w:t>56</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3"/>
        <w:keepNext w:val="0"/>
        <w:keepLines w:val="0"/>
        <w:pageBreakBefore w:val="0"/>
        <w:widowControl w:val="0"/>
        <w:tabs>
          <w:tab w:val="right" w:leader="dot" w:pos="9010"/>
        </w:tabs>
        <w:kinsoku/>
        <w:wordWrap/>
        <w:overflowPunct/>
        <w:topLinePunct w:val="0"/>
        <w:autoSpaceDE/>
        <w:autoSpaceDN/>
        <w:bidi w:val="0"/>
        <w:spacing w:line="540" w:lineRule="exact"/>
        <w:textAlignment w:val="auto"/>
        <w:rPr>
          <w:rFonts w:ascii="楷体" w:hAnsi="楷体" w:eastAsia="楷体" w:cs="楷体"/>
          <w:sz w:val="30"/>
          <w:szCs w:val="30"/>
        </w:rPr>
      </w:pPr>
      <w:r>
        <w:fldChar w:fldCharType="begin"/>
      </w:r>
      <w:r>
        <w:instrText xml:space="preserve"> HYPERLINK \l "_Toc4198" </w:instrText>
      </w:r>
      <w:r>
        <w:fldChar w:fldCharType="separate"/>
      </w:r>
      <w:r>
        <w:rPr>
          <w:rFonts w:hint="eastAsia" w:ascii="楷体" w:hAnsi="楷体" w:eastAsia="楷体" w:cs="楷体"/>
          <w:kern w:val="0"/>
          <w:sz w:val="30"/>
          <w:szCs w:val="30"/>
        </w:rPr>
        <w:t>（二）贯彻落实党的教育方针</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_Toc4198 \h </w:instrText>
      </w:r>
      <w:r>
        <w:rPr>
          <w:rFonts w:hint="eastAsia" w:ascii="楷体" w:hAnsi="楷体" w:eastAsia="楷体" w:cs="楷体"/>
          <w:sz w:val="30"/>
          <w:szCs w:val="30"/>
        </w:rPr>
        <w:fldChar w:fldCharType="separate"/>
      </w:r>
      <w:r>
        <w:rPr>
          <w:rFonts w:hint="eastAsia" w:ascii="楷体" w:hAnsi="楷体" w:eastAsia="楷体" w:cs="楷体"/>
          <w:sz w:val="30"/>
          <w:szCs w:val="30"/>
        </w:rPr>
        <w:t>57</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3"/>
        <w:keepNext w:val="0"/>
        <w:keepLines w:val="0"/>
        <w:pageBreakBefore w:val="0"/>
        <w:widowControl w:val="0"/>
        <w:tabs>
          <w:tab w:val="right" w:leader="dot" w:pos="9010"/>
        </w:tabs>
        <w:kinsoku/>
        <w:wordWrap/>
        <w:overflowPunct/>
        <w:topLinePunct w:val="0"/>
        <w:autoSpaceDE/>
        <w:autoSpaceDN/>
        <w:bidi w:val="0"/>
        <w:spacing w:line="540" w:lineRule="exact"/>
        <w:textAlignment w:val="auto"/>
        <w:rPr>
          <w:rFonts w:ascii="楷体" w:hAnsi="楷体" w:eastAsia="楷体" w:cs="楷体"/>
          <w:sz w:val="30"/>
          <w:szCs w:val="30"/>
        </w:rPr>
      </w:pPr>
      <w:r>
        <w:fldChar w:fldCharType="begin"/>
      </w:r>
      <w:r>
        <w:instrText xml:space="preserve"> HYPERLINK \l "_Toc366" </w:instrText>
      </w:r>
      <w:r>
        <w:fldChar w:fldCharType="separate"/>
      </w:r>
      <w:r>
        <w:rPr>
          <w:rFonts w:hint="eastAsia" w:ascii="楷体" w:hAnsi="楷体" w:eastAsia="楷体" w:cs="楷体"/>
          <w:kern w:val="0"/>
          <w:sz w:val="30"/>
          <w:szCs w:val="30"/>
        </w:rPr>
        <w:t>（三）全面加强教育系统党的建设</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_Toc366 \h </w:instrText>
      </w:r>
      <w:r>
        <w:rPr>
          <w:rFonts w:hint="eastAsia" w:ascii="楷体" w:hAnsi="楷体" w:eastAsia="楷体" w:cs="楷体"/>
          <w:sz w:val="30"/>
          <w:szCs w:val="30"/>
        </w:rPr>
        <w:fldChar w:fldCharType="separate"/>
      </w:r>
      <w:r>
        <w:rPr>
          <w:rFonts w:hint="eastAsia" w:ascii="楷体" w:hAnsi="楷体" w:eastAsia="楷体" w:cs="楷体"/>
          <w:sz w:val="30"/>
          <w:szCs w:val="30"/>
        </w:rPr>
        <w:t>57</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3"/>
        <w:keepNext w:val="0"/>
        <w:keepLines w:val="0"/>
        <w:pageBreakBefore w:val="0"/>
        <w:widowControl w:val="0"/>
        <w:tabs>
          <w:tab w:val="right" w:leader="dot" w:pos="9010"/>
        </w:tabs>
        <w:kinsoku/>
        <w:wordWrap/>
        <w:overflowPunct/>
        <w:topLinePunct w:val="0"/>
        <w:autoSpaceDE/>
        <w:autoSpaceDN/>
        <w:bidi w:val="0"/>
        <w:spacing w:line="540" w:lineRule="exact"/>
        <w:textAlignment w:val="auto"/>
        <w:rPr>
          <w:rFonts w:ascii="楷体" w:hAnsi="楷体" w:eastAsia="楷体" w:cs="楷体"/>
          <w:sz w:val="30"/>
          <w:szCs w:val="30"/>
        </w:rPr>
      </w:pPr>
      <w:r>
        <w:fldChar w:fldCharType="begin"/>
      </w:r>
      <w:r>
        <w:instrText xml:space="preserve"> HYPERLINK \l "_Toc17342" </w:instrText>
      </w:r>
      <w:r>
        <w:fldChar w:fldCharType="separate"/>
      </w:r>
      <w:r>
        <w:rPr>
          <w:rFonts w:hint="eastAsia" w:ascii="楷体" w:hAnsi="楷体" w:eastAsia="楷体" w:cs="楷体"/>
          <w:kern w:val="0"/>
          <w:sz w:val="30"/>
          <w:szCs w:val="30"/>
        </w:rPr>
        <w:t>（四）营造风清气正的良好政治生态</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_Toc17342 \h </w:instrText>
      </w:r>
      <w:r>
        <w:rPr>
          <w:rFonts w:hint="eastAsia" w:ascii="楷体" w:hAnsi="楷体" w:eastAsia="楷体" w:cs="楷体"/>
          <w:sz w:val="30"/>
          <w:szCs w:val="30"/>
        </w:rPr>
        <w:fldChar w:fldCharType="separate"/>
      </w:r>
      <w:r>
        <w:rPr>
          <w:rFonts w:hint="eastAsia" w:ascii="楷体" w:hAnsi="楷体" w:eastAsia="楷体" w:cs="楷体"/>
          <w:sz w:val="30"/>
          <w:szCs w:val="30"/>
        </w:rPr>
        <w:t>58</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1"/>
        <w:keepNext w:val="0"/>
        <w:keepLines w:val="0"/>
        <w:pageBreakBefore w:val="0"/>
        <w:widowControl w:val="0"/>
        <w:tabs>
          <w:tab w:val="right" w:leader="dot" w:pos="9010"/>
        </w:tabs>
        <w:kinsoku/>
        <w:wordWrap/>
        <w:overflowPunct/>
        <w:topLinePunct w:val="0"/>
        <w:autoSpaceDE/>
        <w:autoSpaceDN/>
        <w:bidi w:val="0"/>
        <w:spacing w:line="540" w:lineRule="exact"/>
        <w:textAlignment w:val="auto"/>
        <w:rPr>
          <w:rFonts w:ascii="楷体" w:hAnsi="楷体" w:eastAsia="楷体" w:cs="楷体"/>
          <w:sz w:val="30"/>
          <w:szCs w:val="30"/>
        </w:rPr>
      </w:pPr>
      <w:r>
        <w:fldChar w:fldCharType="begin"/>
      </w:r>
      <w:r>
        <w:instrText xml:space="preserve"> HYPERLINK \l "_Toc9024" </w:instrText>
      </w:r>
      <w:r>
        <w:fldChar w:fldCharType="separate"/>
      </w:r>
      <w:r>
        <w:rPr>
          <w:rFonts w:hint="eastAsia" w:ascii="黑体" w:hAnsi="黑体" w:eastAsia="黑体" w:cs="黑体"/>
          <w:sz w:val="32"/>
          <w:szCs w:val="32"/>
        </w:rPr>
        <w:t>十六、完善规划落实机制</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_Toc9024 \h </w:instrText>
      </w:r>
      <w:r>
        <w:rPr>
          <w:rFonts w:hint="eastAsia" w:ascii="楷体" w:hAnsi="楷体" w:eastAsia="楷体" w:cs="楷体"/>
          <w:sz w:val="30"/>
          <w:szCs w:val="30"/>
        </w:rPr>
        <w:fldChar w:fldCharType="separate"/>
      </w:r>
      <w:r>
        <w:rPr>
          <w:rFonts w:hint="eastAsia" w:ascii="楷体" w:hAnsi="楷体" w:eastAsia="楷体" w:cs="楷体"/>
          <w:sz w:val="30"/>
          <w:szCs w:val="30"/>
        </w:rPr>
        <w:t>56</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3"/>
        <w:keepNext w:val="0"/>
        <w:keepLines w:val="0"/>
        <w:pageBreakBefore w:val="0"/>
        <w:widowControl w:val="0"/>
        <w:tabs>
          <w:tab w:val="right" w:leader="dot" w:pos="9010"/>
        </w:tabs>
        <w:kinsoku/>
        <w:wordWrap/>
        <w:overflowPunct/>
        <w:topLinePunct w:val="0"/>
        <w:autoSpaceDE/>
        <w:autoSpaceDN/>
        <w:bidi w:val="0"/>
        <w:spacing w:line="540" w:lineRule="exact"/>
        <w:textAlignment w:val="auto"/>
        <w:rPr>
          <w:rFonts w:ascii="楷体" w:hAnsi="楷体" w:eastAsia="楷体" w:cs="楷体"/>
          <w:sz w:val="30"/>
          <w:szCs w:val="30"/>
        </w:rPr>
      </w:pPr>
      <w:r>
        <w:fldChar w:fldCharType="begin"/>
      </w:r>
      <w:r>
        <w:instrText xml:space="preserve"> HYPERLINK \l "_Toc7508" </w:instrText>
      </w:r>
      <w:r>
        <w:fldChar w:fldCharType="separate"/>
      </w:r>
      <w:r>
        <w:rPr>
          <w:rFonts w:hint="eastAsia" w:ascii="楷体" w:hAnsi="楷体" w:eastAsia="楷体" w:cs="楷体"/>
          <w:kern w:val="0"/>
          <w:sz w:val="30"/>
          <w:szCs w:val="30"/>
        </w:rPr>
        <w:t>（一）明确实施责任</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_Toc7508 \h </w:instrText>
      </w:r>
      <w:r>
        <w:rPr>
          <w:rFonts w:hint="eastAsia" w:ascii="楷体" w:hAnsi="楷体" w:eastAsia="楷体" w:cs="楷体"/>
          <w:sz w:val="30"/>
          <w:szCs w:val="30"/>
        </w:rPr>
        <w:fldChar w:fldCharType="separate"/>
      </w:r>
      <w:r>
        <w:rPr>
          <w:rFonts w:hint="eastAsia" w:ascii="楷体" w:hAnsi="楷体" w:eastAsia="楷体" w:cs="楷体"/>
          <w:sz w:val="30"/>
          <w:szCs w:val="30"/>
        </w:rPr>
        <w:t>59</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3"/>
        <w:keepNext w:val="0"/>
        <w:keepLines w:val="0"/>
        <w:pageBreakBefore w:val="0"/>
        <w:widowControl w:val="0"/>
        <w:tabs>
          <w:tab w:val="right" w:leader="dot" w:pos="9010"/>
        </w:tabs>
        <w:kinsoku/>
        <w:wordWrap/>
        <w:overflowPunct/>
        <w:topLinePunct w:val="0"/>
        <w:autoSpaceDE/>
        <w:autoSpaceDN/>
        <w:bidi w:val="0"/>
        <w:spacing w:line="540" w:lineRule="exact"/>
        <w:textAlignment w:val="auto"/>
        <w:rPr>
          <w:rFonts w:ascii="楷体" w:hAnsi="楷体" w:eastAsia="楷体" w:cs="楷体"/>
          <w:sz w:val="30"/>
          <w:szCs w:val="30"/>
        </w:rPr>
      </w:pPr>
      <w:r>
        <w:fldChar w:fldCharType="begin"/>
      </w:r>
      <w:r>
        <w:instrText xml:space="preserve"> HYPERLINK \l "_Toc381" </w:instrText>
      </w:r>
      <w:r>
        <w:fldChar w:fldCharType="separate"/>
      </w:r>
      <w:r>
        <w:rPr>
          <w:rFonts w:hint="eastAsia" w:ascii="楷体" w:hAnsi="楷体" w:eastAsia="楷体" w:cs="楷体"/>
          <w:kern w:val="0"/>
          <w:sz w:val="30"/>
          <w:szCs w:val="30"/>
        </w:rPr>
        <w:t>（二）完善监测评估</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_Toc381 \h </w:instrText>
      </w:r>
      <w:r>
        <w:rPr>
          <w:rFonts w:hint="eastAsia" w:ascii="楷体" w:hAnsi="楷体" w:eastAsia="楷体" w:cs="楷体"/>
          <w:sz w:val="30"/>
          <w:szCs w:val="30"/>
        </w:rPr>
        <w:fldChar w:fldCharType="separate"/>
      </w:r>
      <w:r>
        <w:rPr>
          <w:rFonts w:hint="eastAsia" w:ascii="楷体" w:hAnsi="楷体" w:eastAsia="楷体" w:cs="楷体"/>
          <w:sz w:val="30"/>
          <w:szCs w:val="30"/>
        </w:rPr>
        <w:t>59</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3"/>
        <w:keepNext w:val="0"/>
        <w:keepLines w:val="0"/>
        <w:pageBreakBefore w:val="0"/>
        <w:widowControl w:val="0"/>
        <w:tabs>
          <w:tab w:val="right" w:leader="dot" w:pos="9010"/>
        </w:tabs>
        <w:kinsoku/>
        <w:wordWrap/>
        <w:overflowPunct/>
        <w:topLinePunct w:val="0"/>
        <w:autoSpaceDE/>
        <w:autoSpaceDN/>
        <w:bidi w:val="0"/>
        <w:spacing w:line="540" w:lineRule="exact"/>
        <w:textAlignment w:val="auto"/>
      </w:pPr>
      <w:r>
        <w:fldChar w:fldCharType="begin"/>
      </w:r>
      <w:r>
        <w:instrText xml:space="preserve"> HYPERLINK \l "_Toc18758" </w:instrText>
      </w:r>
      <w:r>
        <w:fldChar w:fldCharType="separate"/>
      </w:r>
      <w:r>
        <w:rPr>
          <w:rFonts w:hint="eastAsia" w:ascii="楷体" w:hAnsi="楷体" w:eastAsia="楷体" w:cs="楷体"/>
          <w:kern w:val="0"/>
          <w:sz w:val="30"/>
          <w:szCs w:val="30"/>
        </w:rPr>
        <w:t>（三）营造良好氛围</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_Toc18758 \h </w:instrText>
      </w:r>
      <w:r>
        <w:rPr>
          <w:rFonts w:hint="eastAsia" w:ascii="楷体" w:hAnsi="楷体" w:eastAsia="楷体" w:cs="楷体"/>
          <w:sz w:val="30"/>
          <w:szCs w:val="30"/>
        </w:rPr>
        <w:fldChar w:fldCharType="separate"/>
      </w:r>
      <w:r>
        <w:rPr>
          <w:rFonts w:hint="eastAsia" w:ascii="楷体" w:hAnsi="楷体" w:eastAsia="楷体" w:cs="楷体"/>
          <w:sz w:val="30"/>
          <w:szCs w:val="30"/>
        </w:rPr>
        <w:t>60</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keepNext w:val="0"/>
        <w:keepLines w:val="0"/>
        <w:pageBreakBefore w:val="0"/>
        <w:widowControl w:val="0"/>
        <w:kinsoku/>
        <w:wordWrap/>
        <w:overflowPunct/>
        <w:topLinePunct w:val="0"/>
        <w:autoSpaceDE/>
        <w:autoSpaceDN/>
        <w:bidi w:val="0"/>
        <w:spacing w:line="540" w:lineRule="exact"/>
        <w:textAlignment w:val="auto"/>
        <w:rPr>
          <w:sz w:val="28"/>
          <w:szCs w:val="28"/>
        </w:rPr>
      </w:pPr>
      <w:r>
        <w:rPr>
          <w:rFonts w:hint="eastAsia"/>
          <w:sz w:val="28"/>
          <w:szCs w:val="28"/>
        </w:rPr>
        <w:fldChar w:fldCharType="end"/>
      </w:r>
    </w:p>
    <w:p>
      <w:pPr>
        <w:pStyle w:val="2"/>
        <w:pageBreakBefore w:val="0"/>
        <w:kinsoku/>
        <w:wordWrap/>
        <w:overflowPunct/>
        <w:topLinePunct w:val="0"/>
        <w:autoSpaceDE/>
        <w:autoSpaceDN/>
        <w:bidi w:val="0"/>
        <w:spacing w:line="540" w:lineRule="exact"/>
        <w:ind w:firstLine="0"/>
        <w:jc w:val="center"/>
        <w:rPr>
          <w:rFonts w:ascii="仿宋_GB2312" w:hAnsi="仿宋_GB2312" w:eastAsia="仿宋_GB2312" w:cs="仿宋_GB2312"/>
          <w:b/>
          <w:bCs/>
          <w:color w:val="000000" w:themeColor="text1"/>
          <w:sz w:val="48"/>
          <w:szCs w:val="48"/>
          <w14:textFill>
            <w14:solidFill>
              <w14:schemeClr w14:val="tx1"/>
            </w14:solidFill>
          </w14:textFill>
        </w:rPr>
        <w:sectPr>
          <w:footerReference r:id="rId4" w:type="default"/>
          <w:pgSz w:w="11910" w:h="16840"/>
          <w:pgMar w:top="1580" w:right="1420" w:bottom="1960" w:left="1480" w:header="0" w:footer="1777" w:gutter="0"/>
          <w:pgNumType w:start="1"/>
          <w:cols w:space="720" w:num="1"/>
        </w:sectPr>
      </w:pPr>
    </w:p>
    <w:p>
      <w:pPr>
        <w:pStyle w:val="2"/>
        <w:pageBreakBefore w:val="0"/>
        <w:kinsoku/>
        <w:wordWrap/>
        <w:overflowPunct/>
        <w:topLinePunct w:val="0"/>
        <w:autoSpaceDE/>
        <w:autoSpaceDN/>
        <w:bidi w:val="0"/>
        <w:spacing w:line="560" w:lineRule="exact"/>
        <w:ind w:firstLine="0"/>
        <w:jc w:val="center"/>
        <w:textAlignment w:val="auto"/>
        <w:outlineLvl w:val="0"/>
        <w:rPr>
          <w:rFonts w:hint="eastAsia" w:ascii="华文中宋" w:hAnsi="华文中宋" w:eastAsia="华文中宋" w:cs="华文中宋"/>
          <w:b/>
          <w:bCs/>
          <w:snapToGrid w:val="0"/>
          <w:color w:val="000000" w:themeColor="text1"/>
          <w:spacing w:val="0"/>
          <w:sz w:val="48"/>
          <w:szCs w:val="48"/>
          <w14:textFill>
            <w14:solidFill>
              <w14:schemeClr w14:val="tx1"/>
            </w14:solidFill>
          </w14:textFill>
        </w:rPr>
      </w:pPr>
      <w:bookmarkStart w:id="14" w:name="_Toc13928"/>
      <w:bookmarkStart w:id="15" w:name="_Toc28829"/>
    </w:p>
    <w:p>
      <w:pPr>
        <w:pStyle w:val="2"/>
        <w:pageBreakBefore w:val="0"/>
        <w:kinsoku/>
        <w:wordWrap/>
        <w:overflowPunct/>
        <w:topLinePunct w:val="0"/>
        <w:autoSpaceDE/>
        <w:autoSpaceDN/>
        <w:bidi w:val="0"/>
        <w:spacing w:line="560" w:lineRule="exact"/>
        <w:ind w:firstLine="0"/>
        <w:jc w:val="center"/>
        <w:textAlignment w:val="auto"/>
        <w:outlineLvl w:val="0"/>
        <w:rPr>
          <w:rFonts w:hint="eastAsia" w:ascii="华文中宋" w:hAnsi="华文中宋" w:eastAsia="华文中宋" w:cs="华文中宋"/>
          <w:b/>
          <w:bCs/>
          <w:snapToGrid w:val="0"/>
          <w:color w:val="000000" w:themeColor="text1"/>
          <w:spacing w:val="0"/>
          <w:sz w:val="48"/>
          <w:szCs w:val="48"/>
          <w14:textFill>
            <w14:solidFill>
              <w14:schemeClr w14:val="tx1"/>
            </w14:solidFill>
          </w14:textFill>
        </w:rPr>
      </w:pPr>
      <w:r>
        <w:rPr>
          <w:rFonts w:hint="eastAsia" w:ascii="华文中宋" w:hAnsi="华文中宋" w:eastAsia="华文中宋" w:cs="华文中宋"/>
          <w:b/>
          <w:bCs/>
          <w:snapToGrid w:val="0"/>
          <w:color w:val="000000" w:themeColor="text1"/>
          <w:spacing w:val="0"/>
          <w:sz w:val="48"/>
          <w:szCs w:val="48"/>
          <w14:textFill>
            <w14:solidFill>
              <w14:schemeClr w14:val="tx1"/>
            </w14:solidFill>
          </w14:textFill>
        </w:rPr>
        <w:t>驻马店市“十四五”教育事业</w:t>
      </w:r>
      <w:bookmarkEnd w:id="14"/>
      <w:bookmarkEnd w:id="15"/>
    </w:p>
    <w:p>
      <w:pPr>
        <w:pStyle w:val="2"/>
        <w:pageBreakBefore w:val="0"/>
        <w:kinsoku/>
        <w:wordWrap/>
        <w:overflowPunct/>
        <w:topLinePunct w:val="0"/>
        <w:autoSpaceDE/>
        <w:autoSpaceDN/>
        <w:bidi w:val="0"/>
        <w:spacing w:line="560" w:lineRule="exact"/>
        <w:ind w:firstLine="0"/>
        <w:jc w:val="center"/>
        <w:textAlignment w:val="auto"/>
        <w:outlineLvl w:val="0"/>
        <w:rPr>
          <w:rFonts w:ascii="仿宋_GB2312" w:hAnsi="仿宋_GB2312" w:eastAsia="仿宋_GB2312" w:cs="仿宋_GB2312"/>
          <w:b/>
          <w:bCs/>
          <w:snapToGrid w:val="0"/>
          <w:color w:val="000000" w:themeColor="text1"/>
          <w:spacing w:val="0"/>
          <w:sz w:val="32"/>
          <w:szCs w:val="32"/>
          <w14:textFill>
            <w14:solidFill>
              <w14:schemeClr w14:val="tx1"/>
            </w14:solidFill>
          </w14:textFill>
        </w:rPr>
      </w:pPr>
      <w:bookmarkStart w:id="16" w:name="_Toc2533"/>
      <w:bookmarkStart w:id="17" w:name="_Toc6455"/>
      <w:r>
        <w:rPr>
          <w:rFonts w:hint="eastAsia" w:ascii="华文中宋" w:hAnsi="华文中宋" w:eastAsia="华文中宋" w:cs="华文中宋"/>
          <w:b/>
          <w:bCs/>
          <w:snapToGrid w:val="0"/>
          <w:color w:val="000000" w:themeColor="text1"/>
          <w:spacing w:val="0"/>
          <w:sz w:val="48"/>
          <w:szCs w:val="48"/>
          <w14:textFill>
            <w14:solidFill>
              <w14:schemeClr w14:val="tx1"/>
            </w14:solidFill>
          </w14:textFill>
        </w:rPr>
        <w:t>发展规划</w:t>
      </w:r>
      <w:bookmarkEnd w:id="16"/>
      <w:bookmarkEnd w:id="17"/>
    </w:p>
    <w:p>
      <w:pPr>
        <w:pStyle w:val="2"/>
        <w:pageBreakBefore w:val="0"/>
        <w:kinsoku/>
        <w:wordWrap/>
        <w:overflowPunct/>
        <w:topLinePunct w:val="0"/>
        <w:autoSpaceDE/>
        <w:autoSpaceDN/>
        <w:bidi w:val="0"/>
        <w:spacing w:line="560" w:lineRule="exact"/>
        <w:textAlignment w:val="auto"/>
        <w:rPr>
          <w:rFonts w:ascii="仿宋_GB2312" w:hAnsi="仿宋_GB2312" w:eastAsia="仿宋_GB2312" w:cs="仿宋_GB2312"/>
          <w:snapToGrid w:val="0"/>
          <w:color w:val="000000" w:themeColor="text1"/>
          <w:spacing w:val="0"/>
          <w:sz w:val="28"/>
          <w:szCs w:val="28"/>
          <w14:textFill>
            <w14:solidFill>
              <w14:schemeClr w14:val="tx1"/>
            </w14:solidFill>
          </w14:textFill>
        </w:rPr>
      </w:pPr>
    </w:p>
    <w:p>
      <w:pPr>
        <w:pageBreakBefore w:val="0"/>
        <w:kinsoku/>
        <w:wordWrap/>
        <w:overflowPunct/>
        <w:topLinePunct w:val="0"/>
        <w:autoSpaceDE/>
        <w:autoSpaceDN/>
        <w:bidi w:val="0"/>
        <w:spacing w:line="560" w:lineRule="exact"/>
        <w:ind w:firstLine="560" w:firstLineChars="200"/>
        <w:textAlignment w:val="auto"/>
        <w:rPr>
          <w:rFonts w:ascii="仿宋_GB2312" w:hAnsi="仿宋_GB2312" w:eastAsia="仿宋_GB2312" w:cs="仿宋_GB2312"/>
          <w:b/>
          <w:bCs/>
          <w:snapToGrid w:val="0"/>
          <w:color w:val="000000" w:themeColor="text1"/>
          <w:spacing w:val="0"/>
          <w:sz w:val="28"/>
          <w:szCs w:val="28"/>
          <w14:textFill>
            <w14:solidFill>
              <w14:schemeClr w14:val="tx1"/>
            </w14:solidFill>
          </w14:textFill>
        </w:rPr>
      </w:pP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十四五”时期是驻马店市全面建成小康社会后开启建设社会主义现代化强市新征程、奋力实现高质量跨越发展目标的关键时期。为进一步明确本市“十四五”时期教育改革发展的主要目标和任务，发挥教育在经济社会发展中的基础性、先导性和全局性作用，制定本规划。</w:t>
      </w:r>
    </w:p>
    <w:p>
      <w:pPr>
        <w:pageBreakBefore w:val="0"/>
        <w:kinsoku/>
        <w:wordWrap/>
        <w:overflowPunct/>
        <w:topLinePunct w:val="0"/>
        <w:autoSpaceDE/>
        <w:autoSpaceDN/>
        <w:bidi w:val="0"/>
        <w:spacing w:line="560" w:lineRule="exact"/>
        <w:ind w:firstLine="560" w:firstLineChars="200"/>
        <w:textAlignment w:val="auto"/>
        <w:rPr>
          <w:rFonts w:ascii="仿宋_GB2312" w:hAnsi="仿宋_GB2312" w:eastAsia="仿宋_GB2312" w:cs="仿宋_GB2312"/>
          <w:snapToGrid w:val="0"/>
          <w:color w:val="000000" w:themeColor="text1"/>
          <w:spacing w:val="0"/>
          <w:sz w:val="28"/>
          <w:szCs w:val="28"/>
          <w14:textFill>
            <w14:solidFill>
              <w14:schemeClr w14:val="tx1"/>
            </w14:solidFill>
          </w14:textFill>
        </w:rPr>
      </w:pP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驻马店市“十四五”教育</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事业</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发展规划</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》全面贯彻驻马店市第五次党代会精神</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w:t>
      </w:r>
      <w:r>
        <w:rPr>
          <w:rFonts w:hint="eastAsia" w:ascii="仿宋_GB2312" w:hAnsi="仿宋_GB2312" w:eastAsia="仿宋_GB2312" w:cs="仿宋_GB2312"/>
          <w:snapToGrid w:val="0"/>
          <w:color w:val="auto"/>
          <w:spacing w:val="0"/>
          <w:sz w:val="28"/>
          <w:szCs w:val="28"/>
        </w:rPr>
        <w:t>根据《驻马店市国民经济和社会发展第十四个五年规划和2035年远景目标纲要》</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驻马店市基础教育提质升级五年攻坚行动实施方案</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参照《河南省“十四五”教育事业发展规划》编制，主要阐明“十四五”时期本市教育发展战略意图和工作重点，引导规范教育行为，统筹重大教育举措，是政府履行职责的重要依据，是本市教育发展的宏伟蓝图。</w:t>
      </w:r>
    </w:p>
    <w:p>
      <w:pPr>
        <w:pStyle w:val="4"/>
        <w:pageBreakBefore w:val="0"/>
        <w:kinsoku/>
        <w:wordWrap/>
        <w:overflowPunct/>
        <w:topLinePunct w:val="0"/>
        <w:autoSpaceDE/>
        <w:autoSpaceDN/>
        <w:bidi w:val="0"/>
        <w:spacing w:line="560" w:lineRule="exact"/>
        <w:ind w:firstLine="642" w:firstLineChars="200"/>
        <w:textAlignment w:val="auto"/>
        <w:rPr>
          <w:rFonts w:ascii="黑体" w:hAnsi="黑体" w:cs="黑体"/>
          <w:snapToGrid w:val="0"/>
          <w:color w:val="000000" w:themeColor="text1"/>
          <w:spacing w:val="0"/>
          <w:szCs w:val="32"/>
          <w14:textFill>
            <w14:solidFill>
              <w14:schemeClr w14:val="tx1"/>
            </w14:solidFill>
          </w14:textFill>
        </w:rPr>
      </w:pPr>
      <w:bookmarkStart w:id="18" w:name="_Toc15973"/>
      <w:bookmarkStart w:id="19" w:name="_Toc24427"/>
      <w:bookmarkStart w:id="20" w:name="_Toc23288"/>
      <w:bookmarkStart w:id="21" w:name="_Toc25515"/>
      <w:r>
        <w:rPr>
          <w:rFonts w:hint="eastAsia" w:ascii="黑体" w:hAnsi="黑体" w:cs="黑体"/>
          <w:snapToGrid w:val="0"/>
          <w:color w:val="000000" w:themeColor="text1"/>
          <w:spacing w:val="0"/>
          <w:szCs w:val="32"/>
          <w14:textFill>
            <w14:solidFill>
              <w14:schemeClr w14:val="tx1"/>
            </w14:solidFill>
          </w14:textFill>
        </w:rPr>
        <w:t>一、开启驻马店教育现代化新征程</w:t>
      </w:r>
      <w:bookmarkEnd w:id="18"/>
      <w:bookmarkEnd w:id="19"/>
      <w:bookmarkEnd w:id="20"/>
    </w:p>
    <w:p>
      <w:pPr>
        <w:pStyle w:val="4"/>
        <w:pageBreakBefore w:val="0"/>
        <w:kinsoku/>
        <w:wordWrap/>
        <w:overflowPunct/>
        <w:topLinePunct w:val="0"/>
        <w:autoSpaceDE/>
        <w:autoSpaceDN/>
        <w:bidi w:val="0"/>
        <w:spacing w:line="560" w:lineRule="exact"/>
        <w:ind w:firstLine="600" w:firstLineChars="200"/>
        <w:textAlignment w:val="auto"/>
        <w:rPr>
          <w:rFonts w:ascii="楷体" w:hAnsi="楷体" w:eastAsia="楷体" w:cs="楷体"/>
          <w:b w:val="0"/>
          <w:bCs/>
          <w:snapToGrid w:val="0"/>
          <w:color w:val="000000" w:themeColor="text1"/>
          <w:spacing w:val="0"/>
          <w:sz w:val="30"/>
          <w:szCs w:val="30"/>
          <w14:textFill>
            <w14:solidFill>
              <w14:schemeClr w14:val="tx1"/>
            </w14:solidFill>
          </w14:textFill>
        </w:rPr>
      </w:pPr>
      <w:bookmarkStart w:id="22" w:name="_Toc25461"/>
      <w:bookmarkStart w:id="23" w:name="_Toc19931"/>
      <w:bookmarkStart w:id="24" w:name="_Toc18700"/>
      <w:r>
        <w:rPr>
          <w:rFonts w:hint="eastAsia" w:ascii="楷体" w:hAnsi="楷体" w:eastAsia="楷体" w:cs="楷体"/>
          <w:b w:val="0"/>
          <w:bCs/>
          <w:snapToGrid w:val="0"/>
          <w:color w:val="000000" w:themeColor="text1"/>
          <w:spacing w:val="0"/>
          <w:sz w:val="30"/>
          <w:szCs w:val="30"/>
          <w14:textFill>
            <w14:solidFill>
              <w14:schemeClr w14:val="tx1"/>
            </w14:solidFill>
          </w14:textFill>
        </w:rPr>
        <w:t>（一）发展</w:t>
      </w:r>
      <w:bookmarkEnd w:id="21"/>
      <w:r>
        <w:rPr>
          <w:rFonts w:hint="eastAsia" w:ascii="楷体" w:hAnsi="楷体" w:eastAsia="楷体" w:cs="楷体"/>
          <w:b w:val="0"/>
          <w:bCs/>
          <w:snapToGrid w:val="0"/>
          <w:color w:val="000000" w:themeColor="text1"/>
          <w:spacing w:val="0"/>
          <w:sz w:val="30"/>
          <w:szCs w:val="30"/>
          <w14:textFill>
            <w14:solidFill>
              <w14:schemeClr w14:val="tx1"/>
            </w14:solidFill>
          </w14:textFill>
        </w:rPr>
        <w:t>基础和环境</w:t>
      </w:r>
      <w:bookmarkEnd w:id="22"/>
      <w:bookmarkEnd w:id="23"/>
      <w:bookmarkEnd w:id="24"/>
    </w:p>
    <w:p>
      <w:pPr>
        <w:pageBreakBefore w:val="0"/>
        <w:kinsoku/>
        <w:wordWrap/>
        <w:overflowPunct/>
        <w:topLinePunct w:val="0"/>
        <w:autoSpaceDE/>
        <w:autoSpaceDN/>
        <w:bidi w:val="0"/>
        <w:spacing w:line="560" w:lineRule="exact"/>
        <w:ind w:firstLine="560" w:firstLineChars="200"/>
        <w:textAlignment w:val="auto"/>
        <w:outlineLvl w:val="2"/>
        <w:rPr>
          <w:rFonts w:ascii="仿宋_GB2312" w:hAnsi="仿宋_GB2312" w:eastAsia="仿宋_GB2312" w:cs="仿宋_GB2312"/>
          <w:bCs/>
          <w:snapToGrid w:val="0"/>
          <w:color w:val="000000" w:themeColor="text1"/>
          <w:spacing w:val="0"/>
          <w:sz w:val="28"/>
          <w:szCs w:val="28"/>
          <w14:textFill>
            <w14:solidFill>
              <w14:schemeClr w14:val="tx1"/>
            </w14:solidFill>
          </w14:textFill>
        </w:rPr>
      </w:pPr>
      <w:r>
        <w:rPr>
          <w:rFonts w:hint="eastAsia" w:ascii="仿宋_GB2312" w:hAnsi="仿宋_GB2312" w:eastAsia="仿宋_GB2312" w:cs="仿宋_GB2312"/>
          <w:bCs/>
          <w:snapToGrid w:val="0"/>
          <w:color w:val="000000" w:themeColor="text1"/>
          <w:spacing w:val="0"/>
          <w:sz w:val="28"/>
          <w:szCs w:val="28"/>
          <w14:textFill>
            <w14:solidFill>
              <w14:schemeClr w14:val="tx1"/>
            </w14:solidFill>
          </w14:textFill>
        </w:rPr>
        <w:t>1.发展基础</w:t>
      </w:r>
    </w:p>
    <w:p>
      <w:pPr>
        <w:pageBreakBefore w:val="0"/>
        <w:kinsoku/>
        <w:wordWrap/>
        <w:overflowPunct/>
        <w:topLinePunct w:val="0"/>
        <w:autoSpaceDE/>
        <w:autoSpaceDN/>
        <w:bidi w:val="0"/>
        <w:spacing w:line="560" w:lineRule="exact"/>
        <w:ind w:firstLine="560" w:firstLineChars="200"/>
        <w:textAlignment w:val="auto"/>
        <w:rPr>
          <w:rFonts w:ascii="仿宋_GB2312" w:hAnsi="仿宋_GB2312" w:eastAsia="仿宋_GB2312" w:cs="仿宋_GB2312"/>
          <w:snapToGrid w:val="0"/>
          <w:color w:val="000000" w:themeColor="text1"/>
          <w:spacing w:val="0"/>
          <w:sz w:val="28"/>
          <w:szCs w:val="28"/>
          <w14:textFill>
            <w14:solidFill>
              <w14:schemeClr w14:val="tx1"/>
            </w14:solidFill>
          </w14:textFill>
        </w:rPr>
      </w:pP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驻马店市地处中原腹地，历史悠久，交通便利。“十三五”时期，全市综合实力迅速增强，</w:t>
      </w:r>
      <w:r>
        <w:rPr>
          <w:rFonts w:hint="eastAsia" w:ascii="仿宋_GB2312" w:hAnsi="仿宋_GB2312" w:eastAsia="仿宋_GB2312" w:cs="仿宋_GB2312"/>
          <w:snapToGrid w:val="0"/>
          <w:color w:val="000000" w:themeColor="text1"/>
          <w:spacing w:val="0"/>
          <w:sz w:val="28"/>
          <w:szCs w:val="28"/>
          <w:lang w:val="en-US" w:eastAsia="zh-CN"/>
          <w14:textFill>
            <w14:solidFill>
              <w14:schemeClr w14:val="tx1"/>
            </w14:solidFill>
          </w14:textFill>
        </w:rPr>
        <w:t>2020年全年</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生产总值达到28</w:t>
      </w:r>
      <w:r>
        <w:rPr>
          <w:rFonts w:hint="eastAsia" w:ascii="仿宋_GB2312" w:hAnsi="仿宋_GB2312" w:eastAsia="仿宋_GB2312" w:cs="仿宋_GB2312"/>
          <w:snapToGrid w:val="0"/>
          <w:color w:val="000000" w:themeColor="text1"/>
          <w:spacing w:val="0"/>
          <w:sz w:val="28"/>
          <w:szCs w:val="28"/>
          <w:lang w:val="en-US" w:eastAsia="zh-CN"/>
          <w14:textFill>
            <w14:solidFill>
              <w14:schemeClr w14:val="tx1"/>
            </w14:solidFill>
          </w14:textFill>
        </w:rPr>
        <w:t>42.81</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亿元。城乡面貌发生巨大变化，创成全国文明城市、国家卫生城市、国家森林城市、国家节水型城市、全国法治政府建设示范市、国家农业综合标准化示范市等。改革开放创新深入推进，基础能力明显增强，民主法治建设不断健全，文化建设成果丰硕，生态环境持续向好，民生福祉持续增进，脱贫攻坚成效显著，7个贫困县全部摘帽，党的建设全面加强，“十三五”</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时期</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经济社会发展规划目标任务总体完成。</w:t>
      </w:r>
    </w:p>
    <w:p>
      <w:pPr>
        <w:pageBreakBefore w:val="0"/>
        <w:kinsoku/>
        <w:wordWrap/>
        <w:overflowPunct/>
        <w:topLinePunct w:val="0"/>
        <w:autoSpaceDE/>
        <w:autoSpaceDN/>
        <w:bidi w:val="0"/>
        <w:spacing w:line="560" w:lineRule="exact"/>
        <w:ind w:firstLine="560" w:firstLineChars="200"/>
        <w:textAlignment w:val="auto"/>
        <w:rPr>
          <w:rFonts w:ascii="仿宋_GB2312" w:hAnsi="仿宋_GB2312" w:eastAsia="仿宋_GB2312" w:cs="仿宋_GB2312"/>
          <w:snapToGrid w:val="0"/>
          <w:color w:val="000000" w:themeColor="text1"/>
          <w:spacing w:val="0"/>
          <w:sz w:val="28"/>
          <w:szCs w:val="28"/>
          <w14:textFill>
            <w14:solidFill>
              <w14:schemeClr w14:val="tx1"/>
            </w14:solidFill>
          </w14:textFill>
        </w:rPr>
      </w:pP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驻马店市委、市政府高度重视教育工作。“十三五”时期，在市委市政府的正确领导下，在各县区、有关部门和社会各界的大力支持下，驻马店市教育系统全面贯彻党的教育方针，深入实施科教兴市和人才强市战略，紧紧围绕驻马店市经济社会发展大局，坚持教育优先发展、育人为本、促进公平、提高质量、强化服务，教育事业发展取得新成就。</w:t>
      </w:r>
      <w:r>
        <w:rPr>
          <w:rFonts w:hint="eastAsia" w:ascii="仿宋_GB2312" w:hAnsi="仿宋_GB2312" w:eastAsia="仿宋_GB2312" w:cs="仿宋_GB2312"/>
          <w:snapToGrid w:val="0"/>
          <w:color w:val="auto"/>
          <w:spacing w:val="0"/>
          <w:sz w:val="28"/>
          <w:szCs w:val="28"/>
        </w:rPr>
        <w:t>学前三年毛入园率、九年义务教育巩固率</w:t>
      </w:r>
      <w:r>
        <w:rPr>
          <w:rFonts w:hint="eastAsia" w:ascii="仿宋_GB2312" w:hAnsi="仿宋_GB2312" w:eastAsia="仿宋_GB2312" w:cs="仿宋_GB2312"/>
          <w:snapToGrid w:val="0"/>
          <w:color w:val="auto"/>
          <w:spacing w:val="0"/>
          <w:sz w:val="28"/>
          <w:szCs w:val="28"/>
          <w:lang w:eastAsia="zh-CN"/>
        </w:rPr>
        <w:t>、</w:t>
      </w:r>
      <w:r>
        <w:rPr>
          <w:rFonts w:hint="eastAsia" w:ascii="仿宋_GB2312" w:hAnsi="仿宋_GB2312" w:eastAsia="仿宋_GB2312" w:cs="仿宋_GB2312"/>
          <w:snapToGrid w:val="0"/>
          <w:color w:val="auto"/>
          <w:spacing w:val="0"/>
          <w:sz w:val="28"/>
          <w:szCs w:val="28"/>
        </w:rPr>
        <w:t>高中阶段毛入学率与全省平均水平持平。</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在全省率先完成中等职业教育布局调整，</w:t>
      </w:r>
      <w:r>
        <w:rPr>
          <w:rFonts w:ascii="仿宋_GB2312" w:hAnsi="仿宋_GB2312" w:eastAsia="仿宋_GB2312" w:cs="仿宋_GB2312"/>
          <w:snapToGrid w:val="0"/>
          <w:color w:val="000000" w:themeColor="text1"/>
          <w:spacing w:val="0"/>
          <w:sz w:val="28"/>
          <w:szCs w:val="28"/>
          <w14:textFill>
            <w14:solidFill>
              <w14:schemeClr w14:val="tx1"/>
            </w14:solidFill>
          </w14:textFill>
        </w:rPr>
        <w:t>产教融合、校企合作</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、职教园区建设走在全省前列。高等教育转型发展成效显著，从2014年至今，连续</w:t>
      </w:r>
      <w:r>
        <w:rPr>
          <w:rFonts w:hint="eastAsia" w:ascii="仿宋_GB2312" w:hAnsi="仿宋_GB2312" w:eastAsia="仿宋_GB2312" w:cs="仿宋_GB2312"/>
          <w:snapToGrid w:val="0"/>
          <w:color w:val="000000" w:themeColor="text1"/>
          <w:spacing w:val="0"/>
          <w:sz w:val="28"/>
          <w:szCs w:val="28"/>
          <w:lang w:val="en-US" w:eastAsia="zh-CN"/>
          <w14:textFill>
            <w14:solidFill>
              <w14:schemeClr w14:val="tx1"/>
            </w14:solidFill>
          </w14:textFill>
        </w:rPr>
        <w:t>8</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年承办教育部“产教融合发展战略国际论坛（IFIE）”。职业教育、学生资助、未成年人心理服务体系建设、家庭教育、基础教研、教育科研等全省现场会相继在驻马店市召开。获得全国职业教育先进单位，全省职业教育、民办教育、教育督导、教育宣传、教育信息、留守儿童教育关爱、农村教师周转宿舍建设等先进荣誉。</w:t>
      </w:r>
    </w:p>
    <w:p>
      <w:pPr>
        <w:pStyle w:val="7"/>
        <w:pageBreakBefore w:val="0"/>
        <w:kinsoku/>
        <w:wordWrap/>
        <w:overflowPunct/>
        <w:topLinePunct w:val="0"/>
        <w:autoSpaceDE/>
        <w:autoSpaceDN/>
        <w:bidi w:val="0"/>
        <w:spacing w:after="0" w:line="560" w:lineRule="exact"/>
        <w:ind w:firstLine="560" w:firstLineChars="200"/>
        <w:textAlignment w:val="auto"/>
        <w:rPr>
          <w:rFonts w:ascii="仿宋_GB2312" w:hAnsi="仿宋_GB2312" w:eastAsia="仿宋_GB2312" w:cs="仿宋_GB2312"/>
          <w:snapToGrid w:val="0"/>
          <w:color w:val="auto"/>
          <w:spacing w:val="0"/>
          <w:sz w:val="28"/>
          <w:szCs w:val="28"/>
        </w:rPr>
      </w:pPr>
      <w:r>
        <w:rPr>
          <w:rFonts w:hint="eastAsia" w:ascii="黑体" w:hAnsi="黑体" w:eastAsia="黑体" w:cs="黑体"/>
          <w:snapToGrid w:val="0"/>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教育优先地位有效落实。一是战略优先。坚持把教育摆在利长远、强后劲的突出位置来抓，明确把科教强市作为推动本市高质量跨越发展的重要战略，教育在全面建成小康社会、推进脱贫攻坚、加快产业升级、实施乡村</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振兴</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推动新型城镇化等方面的基础性、支撑性作用不断增强。二是政策优先。“十三五”期间，在推进学前教育普惠发展、城乡义务教育基本均衡、高中特色多样化发展、职教园区建设、高等职业教育发展及应用型学科建设、人才引进等方面，出台了《</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中共驻马店</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市委</w:t>
      </w:r>
      <w:r>
        <w:rPr>
          <w:rFonts w:hint="eastAsia" w:ascii="仿宋_GB2312" w:hAnsi="仿宋_GB2312" w:eastAsia="仿宋_GB2312" w:cs="仿宋_GB2312"/>
          <w:snapToGrid w:val="0"/>
          <w:color w:val="000000" w:themeColor="text1"/>
          <w:spacing w:val="0"/>
          <w:sz w:val="28"/>
          <w:szCs w:val="28"/>
          <w:lang w:val="en-US" w:eastAsia="zh-CN"/>
          <w14:textFill>
            <w14:solidFill>
              <w14:schemeClr w14:val="tx1"/>
            </w14:solidFill>
          </w14:textFill>
        </w:rPr>
        <w:t xml:space="preserve"> 驻马店</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市</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人民</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政府关于实施五大提升工程加快驻马店教育振兴的意见》等一批管全局、利长远的重大政策，一批教育惠民政策相继落地，一批重点教育工程相继实施。三是投入优先。严格落实各类教育生均拨款标准，2016-2020年，全市教育经费总投入分别达到</w:t>
      </w:r>
      <w:r>
        <w:rPr>
          <w:rFonts w:hint="eastAsia" w:ascii="仿宋_GB2312" w:hAnsi="仿宋_GB2312" w:eastAsia="仿宋_GB2312" w:cs="仿宋_GB2312"/>
          <w:snapToGrid w:val="0"/>
          <w:color w:val="auto"/>
          <w:spacing w:val="0"/>
          <w:sz w:val="28"/>
          <w:szCs w:val="28"/>
        </w:rPr>
        <w:t>74.07亿元、83.90亿元、103.77亿元、116.55亿元、118.87亿元，年均增长率达到1</w:t>
      </w:r>
      <w:r>
        <w:rPr>
          <w:rFonts w:hint="eastAsia" w:ascii="仿宋_GB2312" w:hAnsi="仿宋_GB2312" w:eastAsia="仿宋_GB2312" w:cs="仿宋_GB2312"/>
          <w:snapToGrid w:val="0"/>
          <w:color w:val="auto"/>
          <w:spacing w:val="0"/>
          <w:sz w:val="28"/>
          <w:szCs w:val="28"/>
          <w:lang w:val="en-US" w:eastAsia="zh-CN"/>
        </w:rPr>
        <w:t>2.</w:t>
      </w:r>
      <w:r>
        <w:rPr>
          <w:rFonts w:hint="default" w:ascii="仿宋_GB2312" w:hAnsi="仿宋_GB2312" w:eastAsia="仿宋_GB2312" w:cs="仿宋_GB2312"/>
          <w:snapToGrid w:val="0"/>
          <w:color w:val="auto"/>
          <w:spacing w:val="0"/>
          <w:sz w:val="28"/>
          <w:szCs w:val="28"/>
          <w:lang w:val="en-US" w:eastAsia="zh-CN"/>
        </w:rPr>
        <w:t>55</w:t>
      </w:r>
      <w:r>
        <w:rPr>
          <w:rFonts w:hint="eastAsia" w:ascii="仿宋_GB2312" w:hAnsi="仿宋_GB2312" w:eastAsia="仿宋_GB2312" w:cs="仿宋_GB2312"/>
          <w:snapToGrid w:val="0"/>
          <w:color w:val="auto"/>
          <w:spacing w:val="0"/>
          <w:sz w:val="28"/>
          <w:szCs w:val="28"/>
        </w:rPr>
        <w:t>%。</w:t>
      </w:r>
    </w:p>
    <w:p>
      <w:pPr>
        <w:pageBreakBefore w:val="0"/>
        <w:kinsoku/>
        <w:wordWrap/>
        <w:overflowPunct/>
        <w:topLinePunct w:val="0"/>
        <w:autoSpaceDE/>
        <w:autoSpaceDN/>
        <w:bidi w:val="0"/>
        <w:spacing w:line="560" w:lineRule="exact"/>
        <w:ind w:firstLine="560" w:firstLineChars="200"/>
        <w:textAlignment w:val="auto"/>
        <w:rPr>
          <w:rFonts w:ascii="仿宋_GB2312" w:hAnsi="仿宋_GB2312" w:eastAsia="仿宋_GB2312" w:cs="仿宋_GB2312"/>
          <w:snapToGrid w:val="0"/>
          <w:color w:val="000000" w:themeColor="text1"/>
          <w:spacing w:val="0"/>
          <w:sz w:val="28"/>
          <w:szCs w:val="28"/>
          <w14:textFill>
            <w14:solidFill>
              <w14:schemeClr w14:val="tx1"/>
            </w14:solidFill>
          </w14:textFill>
        </w:rPr>
      </w:pPr>
      <w:r>
        <w:rPr>
          <w:rFonts w:hint="eastAsia" w:ascii="黑体" w:hAnsi="黑体" w:eastAsia="黑体" w:cs="黑体"/>
          <w:snapToGrid w:val="0"/>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各级各类教育持续健康发展。教育普及水平不断提升，</w:t>
      </w:r>
      <w:r>
        <w:rPr>
          <w:rFonts w:hint="eastAsia" w:ascii="仿宋_GB2312" w:hAnsi="仿宋_GB2312" w:eastAsia="仿宋_GB2312" w:cs="仿宋_GB2312"/>
          <w:snapToGrid w:val="0"/>
          <w:color w:val="auto"/>
          <w:spacing w:val="0"/>
          <w:sz w:val="28"/>
          <w:szCs w:val="28"/>
        </w:rPr>
        <w:t>2020年本市学前教育毛入园率、义务教育巩固率、高中阶段毛入学率、残疾儿童少年义务教育入学率分别达到93%、96.5%、92%、96.91%，</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分别比2015年提高11</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2.5</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10</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11.27个百分点。义务教育通过调整农村学校布局、加强农村寄宿制学校建设、改善农村薄弱学校办学条件、城镇教育资源扩容提质等有力举措，有效增加了学位供给，2020年，本市所有县区</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均</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通过国家义务教育基本均衡发展评估验收，成为驻马店市教育发展史上又一新的里程碑。高中教育质量得到有效提升，2020年高考一本上线率达到16.28%，比2015年提高</w:t>
      </w:r>
      <w:r>
        <w:rPr>
          <w:rFonts w:hint="eastAsia" w:ascii="仿宋_GB2312" w:hAnsi="仿宋_GB2312" w:eastAsia="仿宋_GB2312" w:cs="仿宋_GB2312"/>
          <w:snapToGrid w:val="0"/>
          <w:color w:val="000000" w:themeColor="text1"/>
          <w:spacing w:val="0"/>
          <w:sz w:val="28"/>
          <w:szCs w:val="28"/>
          <w:lang w:val="en-US" w:eastAsia="zh-CN"/>
          <w14:textFill>
            <w14:solidFill>
              <w14:schemeClr w14:val="tx1"/>
            </w14:solidFill>
          </w14:textFill>
        </w:rPr>
        <w:t>5.96</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个百分点。职业教育布局调整成效显著，职教园区建设稳步推进。高等教育稳步发展，黄淮学院作为河南省首批应用技术类示范本科高校一期建设圆满结束，黄淮学院、驻马店</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职业技术</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学院转型发展迈上新台阶，高等教育毛入学率与全国平均水平进一步缩小。民办教育在规范中健康发展</w:t>
      </w:r>
      <w:r>
        <w:rPr>
          <w:rFonts w:hint="default" w:ascii="仿宋_GB2312" w:hAnsi="仿宋_GB2312" w:eastAsia="仿宋_GB2312" w:cs="仿宋_GB2312"/>
          <w:snapToGrid w:val="0"/>
          <w:color w:val="000000" w:themeColor="text1"/>
          <w:spacing w:val="0"/>
          <w:sz w:val="28"/>
          <w:szCs w:val="28"/>
          <w:lang w:val="en-US"/>
          <w14:textFill>
            <w14:solidFill>
              <w14:schemeClr w14:val="tx1"/>
            </w14:solidFill>
          </w14:textFill>
        </w:rPr>
        <w:t>,</w:t>
      </w:r>
      <w:r>
        <w:rPr>
          <w:rFonts w:hint="eastAsia" w:ascii="仿宋_GB2312" w:hAnsi="仿宋_GB2312" w:eastAsia="仿宋_GB2312" w:cs="仿宋_GB2312"/>
          <w:snapToGrid w:val="0"/>
          <w:spacing w:val="0"/>
          <w:sz w:val="28"/>
          <w:szCs w:val="28"/>
        </w:rPr>
        <w:t>“十三五”期间民办学校由981所增加到1360所，在校生由31.5万人增加到47.15万人，教职工由23820人增加到35019人，固定资产由69.37亿元增加到80.52亿元，</w:t>
      </w:r>
      <w:r>
        <w:rPr>
          <w:rFonts w:hint="eastAsia" w:ascii="仿宋_GB2312" w:hAnsi="仿宋_GB2312" w:eastAsia="仿宋_GB2312" w:cs="仿宋_GB2312"/>
          <w:snapToGrid w:val="0"/>
          <w:color w:val="auto"/>
          <w:spacing w:val="0"/>
          <w:sz w:val="28"/>
          <w:szCs w:val="28"/>
          <w:lang w:eastAsia="zh-CN"/>
        </w:rPr>
        <w:t>市教育局</w:t>
      </w:r>
      <w:r>
        <w:rPr>
          <w:rFonts w:hint="eastAsia" w:ascii="仿宋_GB2312" w:hAnsi="仿宋_GB2312" w:eastAsia="仿宋_GB2312" w:cs="仿宋_GB2312"/>
          <w:snapToGrid w:val="0"/>
          <w:spacing w:val="0"/>
          <w:sz w:val="28"/>
          <w:szCs w:val="28"/>
        </w:rPr>
        <w:t>连续5年被省教育厅评为“全省民办教育服务与管理先进单位”。</w:t>
      </w:r>
    </w:p>
    <w:p>
      <w:pPr>
        <w:pageBreakBefore w:val="0"/>
        <w:kinsoku/>
        <w:wordWrap/>
        <w:overflowPunct/>
        <w:topLinePunct w:val="0"/>
        <w:autoSpaceDE/>
        <w:autoSpaceDN/>
        <w:bidi w:val="0"/>
        <w:spacing w:line="560" w:lineRule="exact"/>
        <w:ind w:firstLine="560" w:firstLineChars="200"/>
        <w:textAlignment w:val="auto"/>
        <w:rPr>
          <w:rFonts w:ascii="仿宋_GB2312" w:hAnsi="仿宋_GB2312" w:eastAsia="仿宋_GB2312" w:cs="仿宋_GB2312"/>
          <w:snapToGrid w:val="0"/>
          <w:color w:val="000000" w:themeColor="text1"/>
          <w:spacing w:val="0"/>
          <w:sz w:val="28"/>
          <w:szCs w:val="28"/>
          <w14:textFill>
            <w14:solidFill>
              <w14:schemeClr w14:val="tx1"/>
            </w14:solidFill>
          </w14:textFill>
        </w:rPr>
      </w:pPr>
      <w:r>
        <w:rPr>
          <w:rFonts w:hint="eastAsia" w:ascii="黑体" w:hAnsi="黑体" w:eastAsia="黑体" w:cs="黑体"/>
          <w:snapToGrid w:val="0"/>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发展短板得到重点聚焦。进一步扩充学前教育资源，第三期学前教育三年行动计划顺利实施，“入园难”“入园贵”的问题得到缓解</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“十三五”期间，本市共投入学前教育专项资金3.97亿元，新建改扩建幼儿园887所。城镇义务教育“择校热”“大班额”得到有效控制，2016—2020年，新建、改扩建中小学校1</w:t>
      </w:r>
      <w:r>
        <w:rPr>
          <w:rFonts w:hint="eastAsia" w:ascii="仿宋_GB2312" w:hAnsi="仿宋_GB2312" w:eastAsia="仿宋_GB2312" w:cs="仿宋_GB2312"/>
          <w:snapToGrid w:val="0"/>
          <w:color w:val="000000" w:themeColor="text1"/>
          <w:spacing w:val="0"/>
          <w:sz w:val="28"/>
          <w:szCs w:val="28"/>
          <w:lang w:val="en-US" w:eastAsia="zh-CN"/>
          <w14:textFill>
            <w14:solidFill>
              <w14:schemeClr w14:val="tx1"/>
            </w14:solidFill>
          </w14:textFill>
        </w:rPr>
        <w:t>458</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所，其中市中心城区新建、改扩建中小学68所，小学大班额、超大班额分别比2015年下降12.7%</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13.3%，初中大班额、超大班额比2015年分别下降35.9%</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35.8%</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新建农村寄宿制小学213所。</w:t>
      </w:r>
      <w:r>
        <w:rPr>
          <w:rFonts w:hint="eastAsia" w:ascii="仿宋_GB2312" w:hAnsi="仿宋_GB2312" w:eastAsia="仿宋_GB2312" w:cs="仿宋_GB2312"/>
          <w:snapToGrid w:val="0"/>
          <w:color w:val="auto"/>
          <w:spacing w:val="0"/>
          <w:sz w:val="28"/>
          <w:szCs w:val="28"/>
        </w:rPr>
        <w:t>高中阶段教育普及攻坚和消除普通高中大班额专项规划</w:t>
      </w:r>
      <w:r>
        <w:rPr>
          <w:rFonts w:hint="eastAsia" w:ascii="仿宋_GB2312" w:hAnsi="仿宋_GB2312" w:eastAsia="仿宋_GB2312" w:cs="仿宋_GB2312"/>
          <w:snapToGrid w:val="0"/>
          <w:color w:val="auto"/>
          <w:spacing w:val="0"/>
          <w:sz w:val="28"/>
          <w:szCs w:val="28"/>
          <w:lang w:eastAsia="zh-CN"/>
        </w:rPr>
        <w:t>顺利实施</w:t>
      </w:r>
      <w:r>
        <w:rPr>
          <w:rFonts w:hint="eastAsia" w:ascii="仿宋_GB2312" w:hAnsi="仿宋_GB2312" w:eastAsia="仿宋_GB2312" w:cs="仿宋_GB2312"/>
          <w:snapToGrid w:val="0"/>
          <w:color w:val="auto"/>
          <w:spacing w:val="0"/>
          <w:sz w:val="28"/>
          <w:szCs w:val="28"/>
        </w:rPr>
        <w:t>，</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迁建、改扩建普通高中</w:t>
      </w:r>
      <w:r>
        <w:rPr>
          <w:rFonts w:hint="eastAsia" w:ascii="仿宋_GB2312" w:hAnsi="仿宋_GB2312" w:eastAsia="仿宋_GB2312" w:cs="仿宋_GB2312"/>
          <w:snapToGrid w:val="0"/>
          <w:color w:val="000000" w:themeColor="text1"/>
          <w:spacing w:val="0"/>
          <w:sz w:val="28"/>
          <w:szCs w:val="28"/>
          <w:lang w:val="en-US" w:eastAsia="zh-CN"/>
          <w14:textFill>
            <w14:solidFill>
              <w14:schemeClr w14:val="tx1"/>
            </w14:solidFill>
          </w14:textFill>
        </w:rPr>
        <w:t>1</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8所，寄宿制普通高中教师生活补助得到全面落实；市政府高中教育质量奖导向作用明显，高中课改深入推进，培优工作取得突破，高中教育综合竞争力明显增强。职业教育转型发展成效显著，推进产教深度融合，成立“驻马店市产教融合促进委员会”和首批</w:t>
      </w:r>
      <w:r>
        <w:rPr>
          <w:rFonts w:hint="eastAsia" w:ascii="仿宋_GB2312" w:hAnsi="仿宋_GB2312" w:eastAsia="仿宋_GB2312" w:cs="仿宋_GB2312"/>
          <w:snapToGrid w:val="0"/>
          <w:color w:val="000000" w:themeColor="text1"/>
          <w:spacing w:val="0"/>
          <w:sz w:val="28"/>
          <w:szCs w:val="28"/>
          <w:lang w:val="en-US" w:eastAsia="zh-CN"/>
          <w14:textFill>
            <w14:solidFill>
              <w14:schemeClr w14:val="tx1"/>
            </w14:solidFill>
          </w14:textFill>
        </w:rPr>
        <w:t>22</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个产教融合战略联盟；职业学校内涵建设和管理水平不断提升，4所学校被确定为省“双高”项目建设单位。高等教育内涵发展取得新成效，黄淮学院、驻马店职业技术学院和</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驻马店</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幼儿</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师范高</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等</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专科学</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校综合实力、办学水平和社会影响力持续提升。</w:t>
      </w:r>
    </w:p>
    <w:p>
      <w:pPr>
        <w:pStyle w:val="15"/>
        <w:pageBreakBefore w:val="0"/>
        <w:kinsoku/>
        <w:wordWrap/>
        <w:overflowPunct/>
        <w:topLinePunct w:val="0"/>
        <w:autoSpaceDE/>
        <w:autoSpaceDN/>
        <w:bidi w:val="0"/>
        <w:spacing w:before="0" w:beforeAutospacing="0" w:after="0" w:afterAutospacing="0" w:line="560" w:lineRule="exact"/>
        <w:ind w:firstLine="560" w:firstLineChars="200"/>
        <w:jc w:val="both"/>
        <w:textAlignment w:val="auto"/>
        <w:rPr>
          <w:rFonts w:ascii="仿宋_GB2312" w:hAnsi="仿宋_GB2312" w:eastAsia="仿宋_GB2312" w:cs="仿宋_GB2312"/>
          <w:snapToGrid w:val="0"/>
          <w:color w:val="000000" w:themeColor="text1"/>
          <w:spacing w:val="0"/>
          <w:kern w:val="2"/>
          <w:sz w:val="28"/>
          <w:szCs w:val="28"/>
          <w14:textFill>
            <w14:solidFill>
              <w14:schemeClr w14:val="tx1"/>
            </w14:solidFill>
          </w14:textFill>
        </w:rPr>
      </w:pPr>
      <w:r>
        <w:rPr>
          <w:rFonts w:hint="eastAsia" w:ascii="黑体" w:hAnsi="黑体" w:eastAsia="黑体" w:cs="黑体"/>
          <w:snapToGrid w:val="0"/>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教育公平进一步落实。统筹推进城乡义务教育一体化发展，“十三</w:t>
      </w:r>
      <w:r>
        <w:rPr>
          <w:rFonts w:hint="eastAsia" w:ascii="仿宋_GB2312" w:hAnsi="仿宋_GB2312" w:eastAsia="仿宋_GB2312" w:cs="仿宋_GB2312"/>
          <w:snapToGrid w:val="0"/>
          <w:color w:val="000000" w:themeColor="text1"/>
          <w:spacing w:val="0"/>
          <w:kern w:val="2"/>
          <w:sz w:val="28"/>
          <w:szCs w:val="28"/>
          <w14:textFill>
            <w14:solidFill>
              <w14:schemeClr w14:val="tx1"/>
            </w14:solidFill>
          </w14:textFill>
        </w:rPr>
        <w:t>五”期间累计投入“全面改薄”资金26.6亿元,惠及中小学生40.6万</w:t>
      </w:r>
      <w:r>
        <w:rPr>
          <w:rFonts w:hint="eastAsia" w:ascii="仿宋_GB2312" w:hAnsi="仿宋_GB2312" w:eastAsia="仿宋_GB2312" w:cs="仿宋_GB2312"/>
          <w:snapToGrid w:val="0"/>
          <w:color w:val="000000" w:themeColor="text1"/>
          <w:spacing w:val="0"/>
          <w:kern w:val="2"/>
          <w:sz w:val="28"/>
          <w:szCs w:val="28"/>
          <w:lang w:eastAsia="zh-CN"/>
          <w14:textFill>
            <w14:solidFill>
              <w14:schemeClr w14:val="tx1"/>
            </w14:solidFill>
          </w14:textFill>
        </w:rPr>
        <w:t>人</w:t>
      </w:r>
      <w:r>
        <w:rPr>
          <w:rFonts w:hint="eastAsia" w:ascii="仿宋_GB2312" w:hAnsi="仿宋_GB2312" w:eastAsia="仿宋_GB2312" w:cs="仿宋_GB2312"/>
          <w:snapToGrid w:val="0"/>
          <w:color w:val="000000" w:themeColor="text1"/>
          <w:spacing w:val="0"/>
          <w:kern w:val="2"/>
          <w:sz w:val="28"/>
          <w:szCs w:val="28"/>
          <w14:textFill>
            <w14:solidFill>
              <w14:schemeClr w14:val="tx1"/>
            </w14:solidFill>
          </w14:textFill>
        </w:rPr>
        <w:t>。全面落实义务教育免试就近入学制度。</w:t>
      </w:r>
      <w:r>
        <w:rPr>
          <w:rFonts w:ascii="仿宋_GB2312" w:hAnsi="仿宋_GB2312" w:eastAsia="仿宋_GB2312" w:cs="仿宋_GB2312"/>
          <w:snapToGrid w:val="0"/>
          <w:color w:val="000000" w:themeColor="text1"/>
          <w:spacing w:val="0"/>
          <w:kern w:val="2"/>
          <w:sz w:val="28"/>
          <w:szCs w:val="28"/>
          <w14:textFill>
            <w14:solidFill>
              <w14:schemeClr w14:val="tx1"/>
            </w14:solidFill>
          </w14:textFill>
        </w:rPr>
        <w:t>实施公</w:t>
      </w:r>
      <w:r>
        <w:rPr>
          <w:rFonts w:hint="eastAsia" w:ascii="仿宋_GB2312" w:hAnsi="仿宋_GB2312" w:eastAsia="仿宋_GB2312" w:cs="仿宋_GB2312"/>
          <w:snapToGrid w:val="0"/>
          <w:color w:val="000000" w:themeColor="text1"/>
          <w:spacing w:val="0"/>
          <w:kern w:val="2"/>
          <w:sz w:val="28"/>
          <w:szCs w:val="28"/>
          <w:lang w:eastAsia="zh-CN"/>
          <w14:textFill>
            <w14:solidFill>
              <w14:schemeClr w14:val="tx1"/>
            </w14:solidFill>
          </w14:textFill>
        </w:rPr>
        <w:t>办</w:t>
      </w:r>
      <w:r>
        <w:rPr>
          <w:rFonts w:ascii="仿宋_GB2312" w:hAnsi="仿宋_GB2312" w:eastAsia="仿宋_GB2312" w:cs="仿宋_GB2312"/>
          <w:snapToGrid w:val="0"/>
          <w:color w:val="000000" w:themeColor="text1"/>
          <w:spacing w:val="0"/>
          <w:kern w:val="2"/>
          <w:sz w:val="28"/>
          <w:szCs w:val="28"/>
          <w14:textFill>
            <w14:solidFill>
              <w14:schemeClr w14:val="tx1"/>
            </w14:solidFill>
          </w14:textFill>
        </w:rPr>
        <w:t>民办义务教育学校一视同仁、互不享有特权的招生入学新机制</w:t>
      </w:r>
      <w:r>
        <w:rPr>
          <w:rFonts w:hint="eastAsia" w:ascii="仿宋_GB2312" w:hAnsi="仿宋_GB2312" w:eastAsia="仿宋_GB2312" w:cs="仿宋_GB2312"/>
          <w:snapToGrid w:val="0"/>
          <w:color w:val="000000" w:themeColor="text1"/>
          <w:spacing w:val="0"/>
          <w:kern w:val="2"/>
          <w:sz w:val="28"/>
          <w:szCs w:val="28"/>
          <w14:textFill>
            <w14:solidFill>
              <w14:schemeClr w14:val="tx1"/>
            </w14:solidFill>
          </w14:textFill>
        </w:rPr>
        <w:t>，进城务工人员随迁子女入学率达到100%。农村义务教育学生营养改善计划覆盖3个国家级贫困县,累计受益学生168万人次，启动中小学生营养午餐服务工程，中小学校免费直饮水工程稳步推进。实施教育精准扶贫，2016—2020年，落实各类学生资助资金11.1亿元,资助困难学生178.23万人次，</w:t>
      </w:r>
      <w:r>
        <w:rPr>
          <w:rFonts w:ascii="仿宋_GB2312" w:hAnsi="仿宋_GB2312" w:eastAsia="仿宋_GB2312" w:cs="仿宋_GB2312"/>
          <w:snapToGrid w:val="0"/>
          <w:color w:val="000000" w:themeColor="text1"/>
          <w:spacing w:val="0"/>
          <w:kern w:val="2"/>
          <w:sz w:val="28"/>
          <w:szCs w:val="28"/>
          <w14:textFill>
            <w14:solidFill>
              <w14:schemeClr w14:val="tx1"/>
            </w14:solidFill>
          </w14:textFill>
        </w:rPr>
        <w:t>控辍保学历史性地实现了动态清零</w:t>
      </w:r>
      <w:r>
        <w:rPr>
          <w:rFonts w:hint="eastAsia" w:ascii="仿宋_GB2312" w:hAnsi="仿宋_GB2312" w:eastAsia="仿宋_GB2312" w:cs="仿宋_GB2312"/>
          <w:snapToGrid w:val="0"/>
          <w:color w:val="000000" w:themeColor="text1"/>
          <w:spacing w:val="0"/>
          <w:kern w:val="2"/>
          <w:sz w:val="28"/>
          <w:szCs w:val="28"/>
          <w14:textFill>
            <w14:solidFill>
              <w14:schemeClr w14:val="tx1"/>
            </w14:solidFill>
          </w14:textFill>
        </w:rPr>
        <w:t>。落实乡村教师支持计划，“十三五”期间共安排1530名教师参加“两区”支教，轮岗交流校长教师6887名。认定普惠性民办幼儿园547所。特殊教育积极探索“医教结合、融合教育、特教提升”学前残疾儿童康复教育模式，适龄残疾儿童少年入学率高于全省平均水平。</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仿宋_GB2312" w:eastAsia="仿宋_GB2312" w:cs="仿宋_GB2312"/>
          <w:snapToGrid w:val="0"/>
          <w:color w:val="000000" w:themeColor="text1"/>
          <w:spacing w:val="0"/>
          <w:sz w:val="28"/>
          <w:szCs w:val="28"/>
          <w14:textFill>
            <w14:solidFill>
              <w14:schemeClr w14:val="tx1"/>
            </w14:solidFill>
          </w14:textFill>
        </w:rPr>
      </w:pPr>
      <w:r>
        <w:rPr>
          <w:rFonts w:hint="eastAsia" w:ascii="黑体" w:hAnsi="黑体" w:eastAsia="黑体" w:cs="黑体"/>
          <w:snapToGrid w:val="0"/>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教育保障能力显著增强。“十三五”期间，财政投入力度进一步加大，2020年，驻马店市财政一般公共预算支出625.7亿元，其中教育支出118.</w:t>
      </w:r>
      <w:r>
        <w:rPr>
          <w:rFonts w:hint="default" w:ascii="仿宋_GB2312" w:hAnsi="仿宋_GB2312" w:eastAsia="仿宋_GB2312" w:cs="仿宋_GB2312"/>
          <w:snapToGrid w:val="0"/>
          <w:color w:val="000000" w:themeColor="text1"/>
          <w:spacing w:val="0"/>
          <w:sz w:val="28"/>
          <w:szCs w:val="28"/>
          <w:lang w:val="en-US"/>
          <w14:textFill>
            <w14:solidFill>
              <w14:schemeClr w14:val="tx1"/>
            </w14:solidFill>
          </w14:textFill>
        </w:rPr>
        <w:t>87</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亿元，教育支出占全市财政总支出的19</w:t>
      </w:r>
      <w:r>
        <w:rPr>
          <w:rFonts w:hint="eastAsia" w:ascii="仿宋_GB2312" w:hAnsi="仿宋_GB2312" w:eastAsia="仿宋_GB2312" w:cs="仿宋_GB2312"/>
          <w:snapToGrid w:val="0"/>
          <w:color w:val="000000" w:themeColor="text1"/>
          <w:spacing w:val="0"/>
          <w:sz w:val="28"/>
          <w:szCs w:val="28"/>
          <w:lang w:val="en-US" w:eastAsia="zh-CN"/>
          <w14:textFill>
            <w14:solidFill>
              <w14:schemeClr w14:val="tx1"/>
            </w14:solidFill>
          </w14:textFill>
        </w:rPr>
        <w:t>%</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教育支出成为我市财政第一大支出。建立以财政投入为主体、多渠道筹集经费的普通高中经费保障机制，提高普通高中生均公用经费定额标准，出台并落实寄宿制高中教师生活补助制度。积极推进学校基础建设，全市各级各类学校校舍场地、教育装备、校园环境、安全防范、信息化建设等办学条件得到较大改善。全面落实新增教师三项津补贴。切实推进</w:t>
      </w:r>
      <w:r>
        <w:rPr>
          <w:rFonts w:ascii="仿宋_GB2312" w:hAnsi="仿宋_GB2312" w:eastAsia="仿宋_GB2312" w:cs="仿宋_GB2312"/>
          <w:snapToGrid w:val="0"/>
          <w:color w:val="000000" w:themeColor="text1"/>
          <w:spacing w:val="0"/>
          <w:sz w:val="28"/>
          <w:szCs w:val="28"/>
          <w14:textFill>
            <w14:solidFill>
              <w14:schemeClr w14:val="tx1"/>
            </w14:solidFill>
          </w14:textFill>
        </w:rPr>
        <w:t>农村教师住房建设</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，农村教师周转宿舍建设走在全省前列，农村中小学校舍维修改造工程</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顺利实施</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农村中小学办学条件持续得到改善</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。教育信息化建设持续推进，“三通两平台”建设取得新成果，全市装备计算机总量12.3万台，96%</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的学校配备有计算机教室</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，中小学宽带网络接入率达到100%，驻马店教育云服务平台开通</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账号</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达到135万个，注册用户数和使用数均居全省首位，“云、网、端”架构已经形成，保证了疫情期间开展大规模线上教学，实现停课不停教、停课不停学，受到了媒体和社会的广泛好评。2020年秋季开始，按照属地管理、学校为主、自愿参加、公益惠民、遵循规律、稳步推进、成本补偿原则，市中心城区41所小学和各县12所试点小学开展课后延时服务，人民群众的教育获得感</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幸福感进一步增强。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napToGrid w:val="0"/>
          <w:color w:val="000000" w:themeColor="text1"/>
          <w:spacing w:val="0"/>
          <w:sz w:val="28"/>
          <w:szCs w:val="28"/>
          <w14:textFill>
            <w14:solidFill>
              <w14:schemeClr w14:val="tx1"/>
            </w14:solidFill>
          </w14:textFill>
        </w:rPr>
      </w:pPr>
      <w:r>
        <w:rPr>
          <w:rFonts w:hint="eastAsia" w:ascii="黑体" w:hAnsi="黑体" w:eastAsia="黑体" w:cs="黑体"/>
          <w:snapToGrid w:val="0"/>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教育服务发展能力持续提升。培养</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输送</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了一大批人才，推动了人才培养链与产业链有效对接，立足经济社会发展需求，积极调整学科专业布局，职业学校专业建设与地方产业发展契合度进一步增强，本市职业院校与436家国内外企业开展了院校合作，累计培养毕业生8.5万人，本市11个产业集聚区累计吸纳职业教育人才10余万人次。强力推进校地合作、产教融合，黄淮学院大学生创新创业园被认定为国家级众创空间，在产教融合、创新创业方面走在全省前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pPr>
      <w:r>
        <w:rPr>
          <w:rFonts w:hint="eastAsia" w:ascii="黑体" w:hAnsi="黑体" w:eastAsia="黑体" w:cs="黑体"/>
          <w:sz w:val="28"/>
          <w:szCs w:val="28"/>
        </w:rPr>
        <w:t>——</w:t>
      </w:r>
      <w:r>
        <w:rPr>
          <w:rFonts w:hint="eastAsia" w:ascii="仿宋_GB2312" w:hAnsi="仿宋_GB2312" w:eastAsia="仿宋_GB2312" w:cs="仿宋_GB2312"/>
          <w:sz w:val="28"/>
          <w:szCs w:val="28"/>
        </w:rPr>
        <w:t>党对教育工作的全面领导有效加强。党对教育工作的全面领导是教育事业健康发展的根本保障。“十三五”期间，“两学一做”</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不忘初心，牢记使命”等系列主题教育深入开展，全面从严治党纵深推进，党员干部和广大师生树牢“四个意识”，坚定“四个自信”，坚决做到“两个维护”。党委教育工作领导机构体系更加完善，围绕党的全面领导进一步加强制度体系建设</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建立健全教育领域“党委统一领导、党政齐抓共管、部门各负其责”的领导体制。</w:t>
      </w:r>
    </w:p>
    <w:p>
      <w:pPr>
        <w:pStyle w:val="4"/>
        <w:pageBreakBefore w:val="0"/>
        <w:kinsoku/>
        <w:wordWrap/>
        <w:overflowPunct/>
        <w:topLinePunct w:val="0"/>
        <w:autoSpaceDE/>
        <w:autoSpaceDN/>
        <w:bidi w:val="0"/>
        <w:spacing w:line="560" w:lineRule="exact"/>
        <w:ind w:firstLine="560" w:firstLineChars="200"/>
        <w:textAlignment w:val="auto"/>
        <w:rPr>
          <w:rFonts w:ascii="仿宋" w:hAnsi="仿宋" w:eastAsia="仿宋" w:cs="仿宋"/>
          <w:b w:val="0"/>
          <w:snapToGrid w:val="0"/>
          <w:color w:val="000000" w:themeColor="text1"/>
          <w:spacing w:val="0"/>
          <w:sz w:val="28"/>
          <w:szCs w:val="28"/>
          <w14:textFill>
            <w14:solidFill>
              <w14:schemeClr w14:val="tx1"/>
            </w14:solidFill>
          </w14:textFill>
        </w:rPr>
      </w:pPr>
      <w:bookmarkStart w:id="25" w:name="_Toc29972"/>
      <w:bookmarkStart w:id="26" w:name="_Toc27414"/>
      <w:bookmarkStart w:id="27" w:name="_Toc5497"/>
      <w:bookmarkStart w:id="28" w:name="_Toc10415"/>
      <w:r>
        <w:rPr>
          <w:rFonts w:hint="eastAsia" w:ascii="仿宋" w:hAnsi="仿宋" w:eastAsia="仿宋" w:cs="仿宋"/>
          <w:b w:val="0"/>
          <w:snapToGrid w:val="0"/>
          <w:color w:val="000000" w:themeColor="text1"/>
          <w:spacing w:val="0"/>
          <w:sz w:val="28"/>
          <w:szCs w:val="28"/>
          <w14:textFill>
            <w14:solidFill>
              <w14:schemeClr w14:val="tx1"/>
            </w14:solidFill>
          </w14:textFill>
        </w:rPr>
        <w:t>2.发展环境</w:t>
      </w:r>
      <w:bookmarkEnd w:id="25"/>
      <w:bookmarkEnd w:id="26"/>
      <w:bookmarkEnd w:id="27"/>
      <w:bookmarkEnd w:id="28"/>
    </w:p>
    <w:p>
      <w:pPr>
        <w:pageBreakBefore w:val="0"/>
        <w:kinsoku/>
        <w:wordWrap/>
        <w:overflowPunct/>
        <w:topLinePunct w:val="0"/>
        <w:autoSpaceDE/>
        <w:autoSpaceDN/>
        <w:bidi w:val="0"/>
        <w:adjustRightInd w:val="0"/>
        <w:snapToGrid w:val="0"/>
        <w:spacing w:line="560" w:lineRule="exact"/>
        <w:ind w:firstLine="560" w:firstLineChars="200"/>
        <w:jc w:val="left"/>
        <w:textAlignment w:val="auto"/>
        <w:rPr>
          <w:rFonts w:ascii="仿宋_GB2312" w:hAnsi="仿宋_GB2312" w:eastAsia="仿宋_GB2312" w:cs="仿宋_GB2312"/>
          <w:snapToGrid w:val="0"/>
          <w:color w:val="000000" w:themeColor="text1"/>
          <w:spacing w:val="0"/>
          <w:sz w:val="28"/>
          <w:szCs w:val="28"/>
          <w14:textFill>
            <w14:solidFill>
              <w14:schemeClr w14:val="tx1"/>
            </w14:solidFill>
          </w14:textFill>
        </w:rPr>
      </w:pP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十四五”时期，驻马店市教育发展面临新机遇和新挑战，中部地区崛起、淮河生态经济带建设、大别山革命老区振兴发展、乡村振兴等国家战略的实施，河南在国家发展格局中的地位上升，给驻马店市经济社会发展带来了难得的机遇。从本市经济社会发展总体情况看，随着</w:t>
      </w:r>
      <w:r>
        <w:rPr>
          <w:rFonts w:hint="eastAsia" w:ascii="仿宋_GB2312" w:hAnsi="仿宋_GB2312" w:eastAsia="仿宋_GB2312" w:cs="仿宋_GB2312"/>
          <w:snapToGrid w:val="0"/>
          <w:spacing w:val="0"/>
          <w:sz w:val="28"/>
          <w:szCs w:val="28"/>
        </w:rPr>
        <w:t>市五次党代会</w:t>
      </w:r>
      <w:r>
        <w:rPr>
          <w:rFonts w:hint="eastAsia" w:ascii="仿宋_GB2312" w:hAnsi="仿宋_GB2312" w:eastAsia="仿宋_GB2312" w:cs="仿宋_GB2312"/>
          <w:snapToGrid w:val="0"/>
          <w:spacing w:val="0"/>
          <w:sz w:val="28"/>
          <w:szCs w:val="28"/>
          <w:lang w:eastAsia="zh-CN"/>
        </w:rPr>
        <w:t>“</w:t>
      </w:r>
      <w:r>
        <w:rPr>
          <w:rFonts w:hint="eastAsia" w:ascii="仿宋_GB2312" w:hAnsi="仿宋_GB2312" w:eastAsia="仿宋_GB2312" w:cs="仿宋_GB2312"/>
          <w:snapToGrid w:val="0"/>
          <w:spacing w:val="0"/>
          <w:sz w:val="28"/>
          <w:szCs w:val="28"/>
        </w:rPr>
        <w:t>创新驱动、教育优先发展</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战略</w:t>
      </w:r>
      <w:r>
        <w:rPr>
          <w:rFonts w:hint="eastAsia" w:ascii="仿宋_GB2312" w:hAnsi="仿宋_GB2312" w:eastAsia="仿宋_GB2312" w:cs="仿宋_GB2312"/>
          <w:snapToGrid w:val="0"/>
          <w:spacing w:val="0"/>
          <w:sz w:val="28"/>
          <w:szCs w:val="28"/>
          <w:lang w:eastAsia="zh-CN"/>
        </w:rPr>
        <w:t>”</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的实施，新型城镇化和产业结构转型升级进程加快，人口生育政策调整和人口老龄化加速，学龄人口、劳动年龄人口规模结构改变，教育需求发生结构性变化，教育体系、结构和布局面临深刻挑战，也为我市教育事业提供了更大的发展空间。为加快教育事业发展，市委市政府出台了《</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驻马店市基础教育提质升级五年攻坚行动实施方案</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《驻马店市加快推进职业教育创新发展高地建设“一地一策”实施方案》</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等重要文件及政策，对本市教育事业改革发展</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作</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出宏观部署</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为谋划“十四五”驻马店市教育改革发展提供了重要</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遵循</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。“十三五”时期驻马店市教育</w:t>
      </w:r>
      <w:r>
        <w:rPr>
          <w:rFonts w:ascii="仿宋_GB2312" w:hAnsi="仿宋_GB2312" w:eastAsia="仿宋_GB2312" w:cs="仿宋_GB2312"/>
          <w:snapToGrid w:val="0"/>
          <w:color w:val="000000" w:themeColor="text1"/>
          <w:spacing w:val="0"/>
          <w:sz w:val="28"/>
          <w:szCs w:val="28"/>
          <w14:textFill>
            <w14:solidFill>
              <w14:schemeClr w14:val="tx1"/>
            </w14:solidFill>
          </w14:textFill>
        </w:rPr>
        <w:t>坚持补短板、强弱项、提质量、促改革，</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发展成绩显著，为“十四五”时期推进高质量教育发展、办好人民满意的教育奠定了坚实基础。</w:t>
      </w:r>
    </w:p>
    <w:p>
      <w:pPr>
        <w:pageBreakBefore w:val="0"/>
        <w:kinsoku/>
        <w:wordWrap/>
        <w:overflowPunct/>
        <w:topLinePunct w:val="0"/>
        <w:autoSpaceDE/>
        <w:autoSpaceDN/>
        <w:bidi w:val="0"/>
        <w:adjustRightInd w:val="0"/>
        <w:snapToGrid w:val="0"/>
        <w:spacing w:line="560" w:lineRule="exact"/>
        <w:ind w:firstLine="560" w:firstLineChars="200"/>
        <w:jc w:val="left"/>
        <w:textAlignment w:val="auto"/>
        <w:rPr>
          <w:rFonts w:ascii="Calibri" w:hAnsi="仿宋" w:eastAsia="宋体" w:cs="Times New Roman"/>
          <w:snapToGrid w:val="0"/>
          <w:color w:val="000000"/>
          <w:spacing w:val="0"/>
          <w:kern w:val="21"/>
          <w:sz w:val="28"/>
          <w:szCs w:val="28"/>
        </w:rPr>
      </w:pP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同时也必须看到，驻马店教育与本市经济社会发展、高质量教育支撑高质量跨越发展、打造</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现代化区域性中心城市</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目标，与广大人民群众期盼相比还存在较大差距：学前教育公办幼儿园比例较低，“入园难”问题没有得到根本解决。义务教育发展不均衡、布局不合理、城乡差距明显，优质教育资源总量不足，城区“择校热”“大班额”与偏远山村学校和教学点生源数量不足并存。普通高中教育发展急需加强，2020年普通高中大班额比例全省平均为21</w:t>
      </w:r>
      <w:r>
        <w:rPr>
          <w:rFonts w:ascii="仿宋_GB2312" w:hAnsi="仿宋_GB2312" w:eastAsia="仿宋_GB2312" w:cs="仿宋_GB2312"/>
          <w:snapToGrid w:val="0"/>
          <w:color w:val="000000" w:themeColor="text1"/>
          <w:spacing w:val="0"/>
          <w:sz w:val="28"/>
          <w:szCs w:val="28"/>
          <w14:textFill>
            <w14:solidFill>
              <w14:schemeClr w14:val="tx1"/>
            </w14:solidFill>
          </w14:textFill>
        </w:rPr>
        <w:t>.</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48%，本市</w:t>
      </w:r>
      <w:r>
        <w:rPr>
          <w:rFonts w:hint="eastAsia" w:ascii="仿宋_GB2312" w:hAnsi="仿宋_GB2312" w:eastAsia="仿宋_GB2312" w:cs="仿宋_GB2312"/>
          <w:snapToGrid w:val="0"/>
          <w:color w:val="000000" w:themeColor="text1"/>
          <w:spacing w:val="0"/>
          <w:sz w:val="28"/>
          <w:szCs w:val="28"/>
          <w:lang w:val="en-US" w:eastAsia="zh-CN"/>
          <w14:textFill>
            <w14:solidFill>
              <w14:schemeClr w14:val="tx1"/>
            </w14:solidFill>
          </w14:textFill>
        </w:rPr>
        <w:t>39.34</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%；普通高中超大班额比例全省平均为5</w:t>
      </w:r>
      <w:r>
        <w:rPr>
          <w:rFonts w:ascii="仿宋_GB2312" w:hAnsi="仿宋_GB2312" w:eastAsia="仿宋_GB2312" w:cs="仿宋_GB2312"/>
          <w:snapToGrid w:val="0"/>
          <w:color w:val="000000" w:themeColor="text1"/>
          <w:spacing w:val="0"/>
          <w:sz w:val="28"/>
          <w:szCs w:val="28"/>
          <w14:textFill>
            <w14:solidFill>
              <w14:schemeClr w14:val="tx1"/>
            </w14:solidFill>
          </w14:textFill>
        </w:rPr>
        <w:t>.</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87%，本市为1</w:t>
      </w:r>
      <w:r>
        <w:rPr>
          <w:rFonts w:hint="eastAsia" w:ascii="仿宋_GB2312" w:hAnsi="仿宋_GB2312" w:eastAsia="仿宋_GB2312" w:cs="仿宋_GB2312"/>
          <w:snapToGrid w:val="0"/>
          <w:color w:val="000000" w:themeColor="text1"/>
          <w:spacing w:val="0"/>
          <w:sz w:val="28"/>
          <w:szCs w:val="28"/>
          <w:lang w:val="en-US" w:eastAsia="zh-CN"/>
          <w14:textFill>
            <w14:solidFill>
              <w14:schemeClr w14:val="tx1"/>
            </w14:solidFill>
          </w14:textFill>
        </w:rPr>
        <w:t>3.19</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普通高中学位严重不足</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w:t>
      </w:r>
      <w:r>
        <w:rPr>
          <w:rFonts w:hint="eastAsia" w:ascii="仿宋_GB2312" w:hAnsi="仿宋_GB2312" w:eastAsia="仿宋_GB2312" w:cs="仿宋_GB2312"/>
          <w:b w:val="0"/>
          <w:bCs w:val="0"/>
          <w:snapToGrid w:val="0"/>
          <w:color w:val="auto"/>
          <w:spacing w:val="0"/>
          <w:sz w:val="28"/>
          <w:szCs w:val="28"/>
          <w:lang w:val="en-US" w:eastAsia="zh-CN"/>
        </w:rPr>
        <w:t>职业教育发展不平衡，总办学容量不足，人才培养质量不高，对地方经济社会发展的贡献力有待提升。</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高等教育仍是本市教育体系中的短板，高校数量少，层次较低，2020年全省普通高校151所，</w:t>
      </w:r>
      <w:r>
        <w:rPr>
          <w:rFonts w:hint="eastAsia" w:ascii="仿宋_GB2312" w:hAnsi="仿宋_GB2312" w:eastAsia="仿宋_GB2312" w:cs="仿宋_GB2312"/>
          <w:b w:val="0"/>
          <w:bCs w:val="0"/>
          <w:snapToGrid w:val="0"/>
          <w:color w:val="auto"/>
          <w:spacing w:val="0"/>
          <w:sz w:val="28"/>
          <w:szCs w:val="28"/>
          <w:lang w:val="en-US" w:eastAsia="zh-CN"/>
        </w:rPr>
        <w:t>平均每个省辖市8所，</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本市仅</w:t>
      </w:r>
      <w:r>
        <w:rPr>
          <w:rFonts w:ascii="仿宋_GB2312" w:hAnsi="仿宋_GB2312" w:eastAsia="仿宋_GB2312" w:cs="仿宋_GB2312"/>
          <w:snapToGrid w:val="0"/>
          <w:color w:val="000000" w:themeColor="text1"/>
          <w:spacing w:val="0"/>
          <w:sz w:val="28"/>
          <w:szCs w:val="28"/>
          <w14:textFill>
            <w14:solidFill>
              <w14:schemeClr w14:val="tx1"/>
            </w14:solidFill>
          </w14:textFill>
        </w:rPr>
        <w:t>3所</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；具备招收研究生的高校全省</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有</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27所，本市还没有。教师队伍素质和结构不适应高质量发展要求，教师待遇水平仍有待提升</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等</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w:t>
      </w:r>
    </w:p>
    <w:p>
      <w:pPr>
        <w:pStyle w:val="7"/>
        <w:pageBreakBefore w:val="0"/>
        <w:widowControl w:val="0"/>
        <w:kinsoku/>
        <w:wordWrap/>
        <w:overflowPunct/>
        <w:topLinePunct w:val="0"/>
        <w:autoSpaceDE/>
        <w:autoSpaceDN/>
        <w:bidi w:val="0"/>
        <w:adjustRightInd/>
        <w:snapToGrid/>
        <w:spacing w:after="0" w:line="560" w:lineRule="exact"/>
        <w:ind w:firstLine="560" w:firstLineChars="200"/>
        <w:textAlignment w:val="auto"/>
        <w:rPr>
          <w:rFonts w:ascii="仿宋_GB2312" w:hAnsi="仿宋_GB2312" w:eastAsia="仿宋_GB2312" w:cs="仿宋_GB2312"/>
          <w:snapToGrid w:val="0"/>
          <w:color w:val="000000" w:themeColor="text1"/>
          <w:spacing w:val="0"/>
          <w:sz w:val="28"/>
          <w:szCs w:val="28"/>
          <w14:textFill>
            <w14:solidFill>
              <w14:schemeClr w14:val="tx1"/>
            </w14:solidFill>
          </w14:textFill>
        </w:rPr>
      </w:pP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百年大计、教育为本。教育是民族振兴、社会进步的重要基石，是功在当代、利在千秋的德政工程，是关系千家万户的民生工程。“十四五”时期，驻马店教育将进入构建高质量发展体系的新阶段，全市教育工作者要更加紧密团结在以习近平同志为核心的党中央周围，高举习近平新时代中国特色社会主义思想伟大旗帜，</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认真学习习近平关于教育的重要论述，</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励精图治，发</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奋</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图强，落实好驻马店市“十四五”教育事业发展规划，实现“十四五”时期教育事业的高质量跨越发展。</w:t>
      </w:r>
    </w:p>
    <w:p>
      <w:pPr>
        <w:pStyle w:val="4"/>
        <w:pageBreakBefore w:val="0"/>
        <w:widowControl w:val="0"/>
        <w:kinsoku/>
        <w:wordWrap/>
        <w:overflowPunct/>
        <w:topLinePunct w:val="0"/>
        <w:autoSpaceDE/>
        <w:autoSpaceDN/>
        <w:bidi w:val="0"/>
        <w:adjustRightInd/>
        <w:snapToGrid/>
        <w:spacing w:line="560" w:lineRule="exact"/>
        <w:ind w:firstLine="600" w:firstLineChars="200"/>
        <w:textAlignment w:val="auto"/>
        <w:rPr>
          <w:rFonts w:ascii="楷体" w:hAnsi="楷体" w:eastAsia="楷体" w:cs="楷体"/>
          <w:b w:val="0"/>
          <w:bCs/>
          <w:snapToGrid w:val="0"/>
          <w:color w:val="000000" w:themeColor="text1"/>
          <w:spacing w:val="0"/>
          <w:sz w:val="30"/>
          <w:szCs w:val="30"/>
          <w14:textFill>
            <w14:solidFill>
              <w14:schemeClr w14:val="tx1"/>
            </w14:solidFill>
          </w14:textFill>
        </w:rPr>
      </w:pPr>
      <w:bookmarkStart w:id="29" w:name="_Toc32694"/>
      <w:bookmarkStart w:id="30" w:name="_Toc22392"/>
      <w:bookmarkStart w:id="31" w:name="_Toc6109"/>
      <w:bookmarkStart w:id="32" w:name="_Toc10732"/>
      <w:r>
        <w:rPr>
          <w:rFonts w:hint="eastAsia" w:ascii="楷体" w:hAnsi="楷体" w:eastAsia="楷体" w:cs="楷体"/>
          <w:b w:val="0"/>
          <w:bCs/>
          <w:snapToGrid w:val="0"/>
          <w:color w:val="000000" w:themeColor="text1"/>
          <w:spacing w:val="0"/>
          <w:sz w:val="30"/>
          <w:szCs w:val="30"/>
          <w14:textFill>
            <w14:solidFill>
              <w14:schemeClr w14:val="tx1"/>
            </w14:solidFill>
          </w14:textFill>
        </w:rPr>
        <w:t>（二）指导思想</w:t>
      </w:r>
      <w:bookmarkEnd w:id="29"/>
      <w:bookmarkEnd w:id="30"/>
      <w:bookmarkEnd w:id="31"/>
      <w:bookmarkEnd w:id="32"/>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仿宋_GB2312" w:eastAsia="仿宋_GB2312" w:cs="仿宋_GB2312"/>
          <w:snapToGrid w:val="0"/>
          <w:color w:val="000000" w:themeColor="text1"/>
          <w:spacing w:val="0"/>
          <w:sz w:val="28"/>
          <w:szCs w:val="28"/>
          <w14:textFill>
            <w14:solidFill>
              <w14:schemeClr w14:val="tx1"/>
            </w14:solidFill>
          </w14:textFill>
        </w:rPr>
      </w:pP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坚持以习近平新时代中国特色社会主义思想为指导，按照“五位一体”总体布局和“四个全面”战略布局，</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树牢</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“四个意识”、坚定“四个自信”、</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坚决</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做到“两个维护”，加强党对教育工作的全面领导，全面贯彻党的教育方针，全面贯彻党中央国务院和省委省政府关于教育事业改革发展的总体部署，落实驻马店市第五次党代会要求，以建设人力资源强市为导向，以立德树人为根本任务，以推动教育高质量发展为主题，</w:t>
      </w:r>
      <w:r>
        <w:rPr>
          <w:rFonts w:ascii="仿宋_GB2312" w:hAnsi="仿宋_GB2312" w:eastAsia="仿宋_GB2312" w:cs="仿宋_GB2312"/>
          <w:snapToGrid w:val="0"/>
          <w:color w:val="000000" w:themeColor="text1"/>
          <w:spacing w:val="0"/>
          <w:sz w:val="28"/>
          <w:szCs w:val="28"/>
          <w14:textFill>
            <w14:solidFill>
              <w14:schemeClr w14:val="tx1"/>
            </w14:solidFill>
          </w14:textFill>
        </w:rPr>
        <w:t>以改革创新为根本动力，着力提高质量、优化结构、补齐短板、促进公平，</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不断完善德智体美劳全面培养体系，</w:t>
      </w:r>
      <w:r>
        <w:rPr>
          <w:rFonts w:ascii="仿宋_GB2312" w:hAnsi="仿宋_GB2312" w:eastAsia="仿宋_GB2312" w:cs="仿宋_GB2312"/>
          <w:snapToGrid w:val="0"/>
          <w:color w:val="000000" w:themeColor="text1"/>
          <w:spacing w:val="0"/>
          <w:sz w:val="28"/>
          <w:szCs w:val="28"/>
          <w14:textFill>
            <w14:solidFill>
              <w14:schemeClr w14:val="tx1"/>
            </w14:solidFill>
          </w14:textFill>
        </w:rPr>
        <w:t>加快推进教育现代化，办好人民满意的教育</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，为驻马店市经济社会发展提供更加有力的人才支撑和智力支持。</w:t>
      </w:r>
    </w:p>
    <w:p>
      <w:pPr>
        <w:pStyle w:val="4"/>
        <w:pageBreakBefore w:val="0"/>
        <w:widowControl w:val="0"/>
        <w:kinsoku/>
        <w:wordWrap/>
        <w:overflowPunct/>
        <w:topLinePunct w:val="0"/>
        <w:autoSpaceDE/>
        <w:autoSpaceDN/>
        <w:bidi w:val="0"/>
        <w:adjustRightInd/>
        <w:snapToGrid/>
        <w:spacing w:line="560" w:lineRule="exact"/>
        <w:ind w:firstLine="600" w:firstLineChars="200"/>
        <w:textAlignment w:val="auto"/>
        <w:rPr>
          <w:rFonts w:ascii="楷体" w:hAnsi="楷体" w:eastAsia="楷体" w:cs="楷体"/>
          <w:b w:val="0"/>
          <w:bCs/>
          <w:snapToGrid w:val="0"/>
          <w:color w:val="000000" w:themeColor="text1"/>
          <w:spacing w:val="0"/>
          <w:sz w:val="30"/>
          <w:szCs w:val="30"/>
          <w14:textFill>
            <w14:solidFill>
              <w14:schemeClr w14:val="tx1"/>
            </w14:solidFill>
          </w14:textFill>
        </w:rPr>
      </w:pPr>
      <w:bookmarkStart w:id="33" w:name="_Toc16676"/>
      <w:bookmarkStart w:id="34" w:name="_Toc7058"/>
      <w:bookmarkStart w:id="35" w:name="_Toc4619"/>
      <w:bookmarkStart w:id="36" w:name="_Toc11387"/>
      <w:r>
        <w:rPr>
          <w:rFonts w:hint="eastAsia" w:ascii="楷体" w:hAnsi="楷体" w:eastAsia="楷体" w:cs="楷体"/>
          <w:b w:val="0"/>
          <w:bCs/>
          <w:snapToGrid w:val="0"/>
          <w:color w:val="000000" w:themeColor="text1"/>
          <w:spacing w:val="0"/>
          <w:sz w:val="30"/>
          <w:szCs w:val="30"/>
          <w14:textFill>
            <w14:solidFill>
              <w14:schemeClr w14:val="tx1"/>
            </w14:solidFill>
          </w14:textFill>
        </w:rPr>
        <w:t>（三）基本原则</w:t>
      </w:r>
      <w:bookmarkEnd w:id="33"/>
      <w:bookmarkEnd w:id="34"/>
      <w:bookmarkEnd w:id="35"/>
      <w:bookmarkEnd w:id="36"/>
    </w:p>
    <w:p>
      <w:pPr>
        <w:pStyle w:val="2"/>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仿宋_GB2312" w:eastAsia="仿宋_GB2312" w:cs="仿宋_GB2312"/>
          <w:snapToGrid w:val="0"/>
          <w:color w:val="000000" w:themeColor="text1"/>
          <w:spacing w:val="0"/>
          <w:sz w:val="28"/>
          <w:szCs w:val="28"/>
          <w14:textFill>
            <w14:solidFill>
              <w14:schemeClr w14:val="tx1"/>
            </w14:solidFill>
          </w14:textFill>
        </w:rPr>
      </w:pP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坚持党的全面领导。毫不动摇坚持和加强党对教育工作的全面领导，完善党领导教育工作的体制机制，把牢教育的政治属性，把握好“培养什么人、怎样培养人、为谁培养人”的政治方向，持续加强教育系统党的建设。坚持中国特色社会主义教育发展道路，以凝聚人心、完善人格、开发人力、培育人才、造福人民为工作目标，</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为党育人，为国育才，</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培养德智体美劳全面发展的社会主义建设者和接班人。</w:t>
      </w:r>
    </w:p>
    <w:p>
      <w:pPr>
        <w:pStyle w:val="2"/>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仿宋_GB2312" w:eastAsia="仿宋_GB2312" w:cs="仿宋_GB2312"/>
          <w:snapToGrid w:val="0"/>
          <w:color w:val="000000" w:themeColor="text1"/>
          <w:spacing w:val="0"/>
          <w:sz w:val="28"/>
          <w:szCs w:val="28"/>
          <w14:textFill>
            <w14:solidFill>
              <w14:schemeClr w14:val="tx1"/>
            </w14:solidFill>
          </w14:textFill>
        </w:rPr>
      </w:pP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坚持以人民为中心。牢固树立</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以</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人民</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为</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中心理念，始终把促进公平作为努力方向，坚持教育公益性原则，促进教育公平，扩大优质教育资源供给，不断缩小城乡、区域教育发展差距，保障弱势群体平等受教育权利，着力解决好教育发展不平衡不充分的主要矛盾和突出问题，提升人民群众教育获得感，使教育改革发展成果更多更公平惠及全体人民。</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仿宋_GB2312" w:eastAsia="仿宋_GB2312" w:cs="仿宋_GB2312"/>
          <w:snapToGrid w:val="0"/>
          <w:color w:val="000000" w:themeColor="text1"/>
          <w:spacing w:val="0"/>
          <w:sz w:val="28"/>
          <w:szCs w:val="28"/>
          <w14:textFill>
            <w14:solidFill>
              <w14:schemeClr w14:val="tx1"/>
            </w14:solidFill>
          </w14:textFill>
        </w:rPr>
      </w:pP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坚持教育优先发展。坚持把教育摆在优先发展的战略地位，经济社会发展规划优先安排教育、财政投入优先保障教育、公共资源优先满足教育需要。立足教育市情，深化综合改革，激发教育活力，推动事业发展，提升教育质量。</w:t>
      </w:r>
    </w:p>
    <w:p>
      <w:pPr>
        <w:pStyle w:val="2"/>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仿宋_GB2312" w:eastAsia="仿宋_GB2312" w:cs="仿宋_GB2312"/>
          <w:snapToGrid w:val="0"/>
          <w:color w:val="000000" w:themeColor="text1"/>
          <w:spacing w:val="0"/>
          <w:sz w:val="28"/>
          <w:szCs w:val="28"/>
          <w14:textFill>
            <w14:solidFill>
              <w14:schemeClr w14:val="tx1"/>
            </w14:solidFill>
          </w14:textFill>
        </w:rPr>
      </w:pP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坚持深化改革开放。以深化教育评价改革为牵引，统筹推进育人方式、办学模式、管理体制、保障机制改革，进一步增强改革的系统性、整体性、协同性，推动教育领域制度机制更加定型更加成熟。坚持以开放促改革、促发展，立足驻马店，引进优质教育资源，促进驻马店教育现代化。</w:t>
      </w:r>
    </w:p>
    <w:p>
      <w:pPr>
        <w:pStyle w:val="2"/>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仿宋_GB2312" w:eastAsia="仿宋_GB2312" w:cs="仿宋_GB2312"/>
          <w:snapToGrid w:val="0"/>
          <w:color w:val="000000" w:themeColor="text1"/>
          <w:spacing w:val="0"/>
          <w:sz w:val="28"/>
          <w:szCs w:val="28"/>
          <w14:textFill>
            <w14:solidFill>
              <w14:schemeClr w14:val="tx1"/>
            </w14:solidFill>
          </w14:textFill>
        </w:rPr>
      </w:pP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坚持融合发展。从驻马店经济社会发展大局出发谋划教育改革发展，实施科教融合、产教融合、城乡融合发展战略，积极推动教育体系与产业体系的有效对接，创新校企、校地合作的形式和机制；积极推动基础教育城乡一体化发展，持续缩小城乡教育差距。</w:t>
      </w:r>
    </w:p>
    <w:p>
      <w:pPr>
        <w:pStyle w:val="4"/>
        <w:pageBreakBefore w:val="0"/>
        <w:widowControl w:val="0"/>
        <w:kinsoku/>
        <w:wordWrap/>
        <w:overflowPunct/>
        <w:topLinePunct w:val="0"/>
        <w:autoSpaceDE/>
        <w:autoSpaceDN/>
        <w:bidi w:val="0"/>
        <w:adjustRightInd/>
        <w:snapToGrid/>
        <w:spacing w:line="560" w:lineRule="exact"/>
        <w:ind w:firstLine="600" w:firstLineChars="200"/>
        <w:textAlignment w:val="auto"/>
        <w:rPr>
          <w:rFonts w:ascii="楷体" w:hAnsi="楷体" w:eastAsia="楷体" w:cs="楷体"/>
          <w:b w:val="0"/>
          <w:bCs/>
          <w:snapToGrid w:val="0"/>
          <w:color w:val="000000" w:themeColor="text1"/>
          <w:spacing w:val="0"/>
          <w:sz w:val="30"/>
          <w:szCs w:val="30"/>
          <w14:textFill>
            <w14:solidFill>
              <w14:schemeClr w14:val="tx1"/>
            </w14:solidFill>
          </w14:textFill>
        </w:rPr>
      </w:pPr>
      <w:bookmarkStart w:id="37" w:name="_Toc7393"/>
      <w:bookmarkStart w:id="38" w:name="_Toc3178"/>
      <w:bookmarkStart w:id="39" w:name="_Toc1679"/>
      <w:bookmarkStart w:id="40" w:name="_Toc8104"/>
      <w:r>
        <w:rPr>
          <w:rFonts w:hint="eastAsia" w:ascii="楷体" w:hAnsi="楷体" w:eastAsia="楷体" w:cs="楷体"/>
          <w:b w:val="0"/>
          <w:bCs/>
          <w:snapToGrid w:val="0"/>
          <w:color w:val="000000" w:themeColor="text1"/>
          <w:spacing w:val="0"/>
          <w:sz w:val="30"/>
          <w:szCs w:val="30"/>
          <w14:textFill>
            <w14:solidFill>
              <w14:schemeClr w14:val="tx1"/>
            </w14:solidFill>
          </w14:textFill>
        </w:rPr>
        <w:t>（四）主要目标</w:t>
      </w:r>
      <w:bookmarkEnd w:id="37"/>
      <w:bookmarkEnd w:id="38"/>
      <w:bookmarkEnd w:id="39"/>
      <w:bookmarkEnd w:id="40"/>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到2025年，基本建成优质均衡的基本公共教育服务体系、支撑经济社会建设的职业教育体系以及服务全民学习的终身教育体系，形成制度更加完备、结构更加优化、保障更加全面、服务更加高效的高质量教育体系，人才培养水平和教育服务贡献能力显著增强，技能型社会、学习型社会建设加快推进，教育综合实力、现代化水平全面提升。</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到</w:t>
      </w:r>
      <w:r>
        <w:rPr>
          <w:rFonts w:hint="eastAsia" w:ascii="仿宋_GB2312" w:hAnsi="仿宋_GB2312" w:eastAsia="仿宋_GB2312" w:cs="仿宋_GB2312"/>
          <w:snapToGrid w:val="0"/>
          <w:color w:val="000000" w:themeColor="text1"/>
          <w:spacing w:val="0"/>
          <w:sz w:val="28"/>
          <w:szCs w:val="28"/>
          <w:lang w:val="en-US" w:eastAsia="zh-CN"/>
          <w14:textFill>
            <w14:solidFill>
              <w14:schemeClr w14:val="tx1"/>
            </w14:solidFill>
          </w14:textFill>
        </w:rPr>
        <w:t>2035年，总体实现教育现代化，</w:t>
      </w:r>
      <w:r>
        <w:rPr>
          <w:rFonts w:hint="eastAsia" w:ascii="仿宋_GB2312" w:hAnsi="仿宋_GB2312" w:eastAsia="仿宋_GB2312" w:cs="仿宋_GB2312"/>
          <w:color w:val="000000"/>
          <w:kern w:val="0"/>
          <w:sz w:val="28"/>
          <w:szCs w:val="28"/>
        </w:rPr>
        <w:t>建成教育强</w:t>
      </w:r>
      <w:r>
        <w:rPr>
          <w:rFonts w:hint="eastAsia" w:ascii="仿宋_GB2312" w:hAnsi="仿宋_GB2312" w:eastAsia="仿宋_GB2312" w:cs="仿宋_GB2312"/>
          <w:color w:val="000000"/>
          <w:kern w:val="0"/>
          <w:sz w:val="28"/>
          <w:szCs w:val="28"/>
          <w:lang w:eastAsia="zh-CN"/>
        </w:rPr>
        <w:t>市</w:t>
      </w:r>
      <w:r>
        <w:rPr>
          <w:rFonts w:hint="eastAsia" w:ascii="仿宋_GB2312" w:hAnsi="仿宋_GB2312" w:eastAsia="仿宋_GB2312" w:cs="仿宋_GB2312"/>
          <w:color w:val="000000"/>
          <w:kern w:val="0"/>
          <w:sz w:val="28"/>
          <w:szCs w:val="28"/>
        </w:rPr>
        <w:t>、人力资源强</w:t>
      </w:r>
      <w:r>
        <w:rPr>
          <w:rFonts w:hint="eastAsia" w:ascii="仿宋_GB2312" w:hAnsi="仿宋_GB2312" w:eastAsia="仿宋_GB2312" w:cs="仿宋_GB2312"/>
          <w:color w:val="000000"/>
          <w:kern w:val="0"/>
          <w:sz w:val="28"/>
          <w:szCs w:val="28"/>
          <w:lang w:eastAsia="zh-CN"/>
        </w:rPr>
        <w:t>市</w:t>
      </w:r>
      <w:r>
        <w:rPr>
          <w:rFonts w:hint="eastAsia" w:ascii="仿宋_GB2312" w:hAnsi="仿宋_GB2312" w:eastAsia="仿宋_GB2312" w:cs="仿宋_GB2312"/>
          <w:color w:val="000000"/>
          <w:kern w:val="0"/>
          <w:sz w:val="28"/>
          <w:szCs w:val="28"/>
        </w:rPr>
        <w:t>和人才强</w:t>
      </w:r>
      <w:r>
        <w:rPr>
          <w:rFonts w:hint="eastAsia" w:ascii="仿宋_GB2312" w:hAnsi="仿宋_GB2312" w:eastAsia="仿宋_GB2312" w:cs="仿宋_GB2312"/>
          <w:color w:val="000000"/>
          <w:kern w:val="0"/>
          <w:sz w:val="28"/>
          <w:szCs w:val="28"/>
          <w:lang w:eastAsia="zh-CN"/>
        </w:rPr>
        <w:t>市</w:t>
      </w:r>
      <w:r>
        <w:rPr>
          <w:rFonts w:hint="eastAsia" w:ascii="仿宋_GB2312" w:hAnsi="仿宋_GB2312" w:eastAsia="仿宋_GB2312" w:cs="仿宋_GB2312"/>
          <w:color w:val="000000"/>
          <w:kern w:val="0"/>
          <w:sz w:val="28"/>
          <w:szCs w:val="28"/>
        </w:rPr>
        <w:t>，教育现代化发展水平进入全</w:t>
      </w:r>
      <w:r>
        <w:rPr>
          <w:rFonts w:hint="eastAsia" w:ascii="仿宋_GB2312" w:hAnsi="仿宋_GB2312" w:eastAsia="仿宋_GB2312" w:cs="仿宋_GB2312"/>
          <w:color w:val="000000"/>
          <w:kern w:val="0"/>
          <w:sz w:val="28"/>
          <w:szCs w:val="28"/>
          <w:lang w:eastAsia="zh-CN"/>
        </w:rPr>
        <w:t>省</w:t>
      </w:r>
      <w:r>
        <w:rPr>
          <w:rFonts w:hint="eastAsia" w:ascii="仿宋_GB2312" w:hAnsi="仿宋_GB2312" w:eastAsia="仿宋_GB2312" w:cs="仿宋_GB2312"/>
          <w:color w:val="000000"/>
          <w:kern w:val="0"/>
          <w:sz w:val="28"/>
          <w:szCs w:val="28"/>
        </w:rPr>
        <w:t>上游行列。</w:t>
      </w:r>
    </w:p>
    <w:p>
      <w:pPr>
        <w:pStyle w:val="2"/>
        <w:pageBreakBefore w:val="0"/>
        <w:widowControl w:val="0"/>
        <w:kinsoku/>
        <w:wordWrap/>
        <w:overflowPunct/>
        <w:topLinePunct w:val="0"/>
        <w:autoSpaceDE/>
        <w:autoSpaceDN/>
        <w:bidi w:val="0"/>
        <w:adjustRightInd/>
        <w:snapToGrid/>
        <w:spacing w:line="560" w:lineRule="exact"/>
        <w:textAlignment w:val="auto"/>
      </w:pPr>
    </w:p>
    <w:tbl>
      <w:tblPr>
        <w:tblStyle w:val="34"/>
        <w:tblW w:w="9215" w:type="dxa"/>
        <w:tblInd w:w="-421" w:type="dxa"/>
        <w:tblLayout w:type="fixed"/>
        <w:tblCellMar>
          <w:top w:w="0" w:type="dxa"/>
          <w:left w:w="0" w:type="dxa"/>
          <w:bottom w:w="0" w:type="dxa"/>
          <w:right w:w="0" w:type="dxa"/>
        </w:tblCellMar>
      </w:tblPr>
      <w:tblGrid>
        <w:gridCol w:w="1044"/>
        <w:gridCol w:w="8171"/>
      </w:tblGrid>
      <w:tr>
        <w:tblPrEx>
          <w:tblCellMar>
            <w:top w:w="0" w:type="dxa"/>
            <w:left w:w="0" w:type="dxa"/>
            <w:bottom w:w="0" w:type="dxa"/>
            <w:right w:w="0" w:type="dxa"/>
          </w:tblCellMar>
        </w:tblPrEx>
        <w:trPr>
          <w:trHeight w:val="593" w:hRule="exact"/>
        </w:trPr>
        <w:tc>
          <w:tcPr>
            <w:tcW w:w="9215" w:type="dxa"/>
            <w:gridSpan w:val="2"/>
            <w:tcBorders>
              <w:top w:val="single" w:color="000000" w:sz="4" w:space="0"/>
              <w:left w:val="single" w:color="000000" w:sz="4" w:space="0"/>
              <w:bottom w:val="single" w:color="000000" w:sz="4" w:space="0"/>
              <w:right w:val="single" w:color="000000" w:sz="4" w:space="0"/>
            </w:tcBorders>
          </w:tcPr>
          <w:p>
            <w:pPr>
              <w:pStyle w:val="35"/>
              <w:keepNext w:val="0"/>
              <w:keepLines w:val="0"/>
              <w:pageBreakBefore w:val="0"/>
              <w:widowControl w:val="0"/>
              <w:kinsoku/>
              <w:wordWrap/>
              <w:overflowPunct/>
              <w:topLinePunct w:val="0"/>
              <w:autoSpaceDE/>
              <w:autoSpaceDN/>
              <w:bidi w:val="0"/>
              <w:adjustRightInd/>
              <w:snapToGrid/>
              <w:spacing w:before="190" w:line="320" w:lineRule="exact"/>
              <w:ind w:left="2469"/>
              <w:textAlignment w:val="auto"/>
              <w:rPr>
                <w:rFonts w:ascii="黑体" w:hAnsi="黑体" w:eastAsia="黑体" w:cs="黑体"/>
                <w:snapToGrid w:val="0"/>
                <w:spacing w:val="0"/>
                <w:sz w:val="30"/>
                <w:szCs w:val="30"/>
                <w:lang w:eastAsia="zh-CN"/>
              </w:rPr>
            </w:pPr>
            <w:r>
              <w:rPr>
                <w:rFonts w:ascii="黑体" w:hAnsi="黑体" w:eastAsia="黑体" w:cs="黑体"/>
                <w:snapToGrid w:val="0"/>
                <w:spacing w:val="0"/>
                <w:sz w:val="32"/>
                <w:szCs w:val="32"/>
                <w:lang w:eastAsia="zh-CN"/>
              </w:rPr>
              <w:t>专栏 1</w:t>
            </w:r>
            <w:r>
              <w:rPr>
                <w:rFonts w:ascii="黑体" w:hAnsi="黑体" w:eastAsia="黑体" w:cs="黑体"/>
                <w:snapToGrid w:val="0"/>
                <w:spacing w:val="0"/>
                <w:sz w:val="32"/>
                <w:szCs w:val="32"/>
                <w:lang w:eastAsia="zh-CN"/>
              </w:rPr>
              <w:tab/>
            </w:r>
            <w:r>
              <w:rPr>
                <w:rFonts w:ascii="黑体" w:hAnsi="黑体" w:eastAsia="黑体" w:cs="黑体"/>
                <w:snapToGrid w:val="0"/>
                <w:spacing w:val="0"/>
                <w:sz w:val="32"/>
                <w:szCs w:val="32"/>
                <w:lang w:eastAsia="zh-CN"/>
              </w:rPr>
              <w:t>教育现代化推进工程</w:t>
            </w:r>
          </w:p>
        </w:tc>
      </w:tr>
      <w:tr>
        <w:tblPrEx>
          <w:tblCellMar>
            <w:top w:w="0" w:type="dxa"/>
            <w:left w:w="0" w:type="dxa"/>
            <w:bottom w:w="0" w:type="dxa"/>
            <w:right w:w="0" w:type="dxa"/>
          </w:tblCellMar>
        </w:tblPrEx>
        <w:trPr>
          <w:trHeight w:val="1272" w:hRule="exact"/>
        </w:trPr>
        <w:tc>
          <w:tcPr>
            <w:tcW w:w="1044" w:type="dxa"/>
            <w:tcBorders>
              <w:top w:val="single" w:color="000000" w:sz="4" w:space="0"/>
              <w:left w:val="single" w:color="000000" w:sz="4" w:space="0"/>
              <w:bottom w:val="single" w:color="auto" w:sz="4" w:space="0"/>
              <w:right w:val="single" w:color="000000" w:sz="4" w:space="0"/>
            </w:tcBorders>
          </w:tcPr>
          <w:p>
            <w:pPr>
              <w:pStyle w:val="35"/>
              <w:keepNext w:val="0"/>
              <w:keepLines w:val="0"/>
              <w:pageBreakBefore w:val="0"/>
              <w:widowControl w:val="0"/>
              <w:kinsoku/>
              <w:wordWrap/>
              <w:overflowPunct/>
              <w:topLinePunct w:val="0"/>
              <w:autoSpaceDE/>
              <w:autoSpaceDN/>
              <w:bidi w:val="0"/>
              <w:adjustRightInd/>
              <w:snapToGrid/>
              <w:spacing w:before="4" w:line="320" w:lineRule="exact"/>
              <w:textAlignment w:val="auto"/>
              <w:rPr>
                <w:rFonts w:ascii="楷体" w:hAnsi="楷体" w:eastAsia="楷体" w:cs="楷体"/>
                <w:snapToGrid w:val="0"/>
                <w:spacing w:val="0"/>
                <w:sz w:val="24"/>
                <w:szCs w:val="24"/>
                <w:lang w:eastAsia="zh-CN"/>
              </w:rPr>
            </w:pPr>
          </w:p>
          <w:p>
            <w:pPr>
              <w:pStyle w:val="35"/>
              <w:keepNext w:val="0"/>
              <w:keepLines w:val="0"/>
              <w:pageBreakBefore w:val="0"/>
              <w:widowControl w:val="0"/>
              <w:kinsoku/>
              <w:wordWrap/>
              <w:overflowPunct/>
              <w:topLinePunct w:val="0"/>
              <w:autoSpaceDE/>
              <w:autoSpaceDN/>
              <w:bidi w:val="0"/>
              <w:adjustRightInd/>
              <w:snapToGrid/>
              <w:spacing w:line="320" w:lineRule="exact"/>
              <w:textAlignment w:val="auto"/>
              <w:rPr>
                <w:rFonts w:ascii="楷体" w:hAnsi="楷体" w:eastAsia="楷体" w:cs="楷体"/>
                <w:snapToGrid w:val="0"/>
                <w:spacing w:val="0"/>
                <w:sz w:val="24"/>
                <w:szCs w:val="24"/>
                <w:lang w:eastAsia="zh-CN"/>
              </w:rPr>
            </w:pPr>
            <w:r>
              <w:rPr>
                <w:rFonts w:ascii="楷体" w:hAnsi="楷体" w:eastAsia="楷体" w:cs="楷体"/>
                <w:snapToGrid w:val="0"/>
                <w:spacing w:val="0"/>
                <w:sz w:val="24"/>
                <w:szCs w:val="24"/>
                <w:lang w:eastAsia="zh-CN"/>
              </w:rPr>
              <w:t>学前教育普及普惠</w:t>
            </w:r>
            <w:r>
              <w:rPr>
                <w:rFonts w:hint="eastAsia" w:ascii="楷体" w:hAnsi="楷体" w:eastAsia="楷体" w:cs="楷体"/>
                <w:snapToGrid w:val="0"/>
                <w:spacing w:val="0"/>
                <w:sz w:val="24"/>
                <w:szCs w:val="24"/>
                <w:lang w:eastAsia="zh-CN"/>
              </w:rPr>
              <w:t>提升计划</w:t>
            </w:r>
          </w:p>
        </w:tc>
        <w:tc>
          <w:tcPr>
            <w:tcW w:w="8171" w:type="dxa"/>
            <w:tcBorders>
              <w:top w:val="single" w:color="000000" w:sz="4" w:space="0"/>
              <w:left w:val="single" w:color="000000" w:sz="4" w:space="0"/>
              <w:bottom w:val="single" w:color="auto" w:sz="4" w:space="0"/>
              <w:right w:val="single" w:color="000000" w:sz="4" w:space="0"/>
            </w:tcBorders>
          </w:tcPr>
          <w:p>
            <w:pPr>
              <w:pStyle w:val="35"/>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ascii="楷体" w:hAnsi="楷体" w:eastAsia="楷体" w:cs="楷体"/>
                <w:snapToGrid w:val="0"/>
                <w:spacing w:val="0"/>
                <w:sz w:val="24"/>
                <w:szCs w:val="24"/>
                <w:lang w:eastAsia="zh-CN"/>
              </w:rPr>
            </w:pPr>
            <w:r>
              <w:rPr>
                <w:rFonts w:ascii="楷体" w:hAnsi="楷体" w:eastAsia="楷体" w:cs="楷体"/>
                <w:snapToGrid w:val="0"/>
                <w:spacing w:val="0"/>
                <w:sz w:val="24"/>
                <w:szCs w:val="24"/>
                <w:lang w:eastAsia="zh-CN"/>
              </w:rPr>
              <w:t>提高学前教育普及普惠水平</w:t>
            </w:r>
            <w:r>
              <w:rPr>
                <w:rFonts w:hint="eastAsia" w:ascii="楷体" w:hAnsi="楷体" w:eastAsia="楷体" w:cs="楷体"/>
                <w:snapToGrid w:val="0"/>
                <w:spacing w:val="0"/>
                <w:sz w:val="24"/>
                <w:szCs w:val="24"/>
                <w:lang w:eastAsia="zh-CN"/>
              </w:rPr>
              <w:t>，</w:t>
            </w:r>
            <w:r>
              <w:rPr>
                <w:rFonts w:ascii="楷体" w:hAnsi="楷体" w:eastAsia="楷体" w:cs="楷体"/>
                <w:snapToGrid w:val="0"/>
                <w:spacing w:val="0"/>
                <w:sz w:val="24"/>
                <w:szCs w:val="24"/>
                <w:lang w:eastAsia="zh-CN"/>
              </w:rPr>
              <w:t>大力推动公办幼儿园建设，加速构建覆盖城乡、布局合理、公益普惠的学前教育公共服务体系，</w:t>
            </w:r>
            <w:r>
              <w:rPr>
                <w:rFonts w:hint="eastAsia" w:ascii="楷体" w:hAnsi="楷体" w:eastAsia="楷体" w:cs="楷体"/>
                <w:snapToGrid w:val="0"/>
                <w:color w:val="auto"/>
                <w:spacing w:val="0"/>
                <w:sz w:val="24"/>
                <w:szCs w:val="24"/>
                <w:lang w:eastAsia="zh-CN"/>
              </w:rPr>
              <w:t>新建、改扩建及续建公办幼儿园</w:t>
            </w:r>
            <w:r>
              <w:rPr>
                <w:rFonts w:hint="eastAsia" w:ascii="楷体" w:hAnsi="楷体" w:eastAsia="楷体" w:cs="楷体"/>
                <w:snapToGrid w:val="0"/>
                <w:color w:val="auto"/>
                <w:spacing w:val="0"/>
                <w:sz w:val="24"/>
                <w:szCs w:val="24"/>
                <w:lang w:val="en-US" w:eastAsia="zh-CN"/>
              </w:rPr>
              <w:t>214</w:t>
            </w:r>
            <w:r>
              <w:rPr>
                <w:rFonts w:hint="eastAsia" w:ascii="楷体" w:hAnsi="楷体" w:eastAsia="楷体" w:cs="楷体"/>
                <w:snapToGrid w:val="0"/>
                <w:color w:val="auto"/>
                <w:spacing w:val="0"/>
                <w:sz w:val="24"/>
                <w:szCs w:val="24"/>
                <w:lang w:eastAsia="zh-CN"/>
              </w:rPr>
              <w:t>所。</w:t>
            </w:r>
            <w:r>
              <w:rPr>
                <w:rFonts w:ascii="楷体" w:hAnsi="楷体" w:eastAsia="楷体" w:cs="楷体"/>
                <w:snapToGrid w:val="0"/>
                <w:color w:val="auto"/>
                <w:spacing w:val="0"/>
                <w:sz w:val="24"/>
                <w:szCs w:val="24"/>
                <w:lang w:eastAsia="zh-CN"/>
              </w:rPr>
              <w:t>建</w:t>
            </w:r>
            <w:r>
              <w:rPr>
                <w:rFonts w:ascii="楷体" w:hAnsi="楷体" w:eastAsia="楷体" w:cs="楷体"/>
                <w:snapToGrid w:val="0"/>
                <w:spacing w:val="0"/>
                <w:sz w:val="24"/>
                <w:szCs w:val="24"/>
                <w:lang w:eastAsia="zh-CN"/>
              </w:rPr>
              <w:t>立普惠性学前教育成本分担机制</w:t>
            </w:r>
            <w:r>
              <w:rPr>
                <w:rFonts w:hint="eastAsia" w:ascii="楷体" w:hAnsi="楷体" w:eastAsia="楷体" w:cs="楷体"/>
                <w:snapToGrid w:val="0"/>
                <w:spacing w:val="0"/>
                <w:sz w:val="24"/>
                <w:szCs w:val="24"/>
                <w:lang w:eastAsia="zh-CN"/>
              </w:rPr>
              <w:t>，</w:t>
            </w:r>
            <w:r>
              <w:rPr>
                <w:rFonts w:ascii="楷体" w:hAnsi="楷体" w:eastAsia="楷体" w:cs="楷体"/>
                <w:snapToGrid w:val="0"/>
                <w:spacing w:val="0"/>
                <w:sz w:val="24"/>
                <w:szCs w:val="24"/>
                <w:lang w:eastAsia="zh-CN"/>
              </w:rPr>
              <w:t>学前教育毛入园率达到93%以上，普惠性幼儿园覆盖率达到85%以上。</w:t>
            </w:r>
          </w:p>
        </w:tc>
      </w:tr>
      <w:tr>
        <w:tblPrEx>
          <w:tblCellMar>
            <w:top w:w="0" w:type="dxa"/>
            <w:left w:w="0" w:type="dxa"/>
            <w:bottom w:w="0" w:type="dxa"/>
            <w:right w:w="0" w:type="dxa"/>
          </w:tblCellMar>
        </w:tblPrEx>
        <w:trPr>
          <w:trHeight w:val="2228" w:hRule="exact"/>
        </w:trPr>
        <w:tc>
          <w:tcPr>
            <w:tcW w:w="1044" w:type="dxa"/>
            <w:tcBorders>
              <w:top w:val="single" w:color="auto" w:sz="4" w:space="0"/>
              <w:left w:val="single" w:color="000000" w:sz="4" w:space="0"/>
              <w:bottom w:val="single" w:color="auto" w:sz="4" w:space="0"/>
              <w:right w:val="single" w:color="000000" w:sz="4" w:space="0"/>
            </w:tcBorders>
          </w:tcPr>
          <w:p>
            <w:pPr>
              <w:pStyle w:val="35"/>
              <w:keepNext w:val="0"/>
              <w:keepLines w:val="0"/>
              <w:pageBreakBefore w:val="0"/>
              <w:widowControl w:val="0"/>
              <w:kinsoku/>
              <w:wordWrap/>
              <w:overflowPunct/>
              <w:topLinePunct w:val="0"/>
              <w:autoSpaceDE/>
              <w:autoSpaceDN/>
              <w:bidi w:val="0"/>
              <w:adjustRightInd/>
              <w:snapToGrid/>
              <w:spacing w:before="4" w:line="320" w:lineRule="exact"/>
              <w:textAlignment w:val="auto"/>
              <w:rPr>
                <w:rFonts w:ascii="楷体" w:hAnsi="楷体" w:eastAsia="楷体" w:cs="楷体"/>
                <w:snapToGrid w:val="0"/>
                <w:spacing w:val="0"/>
                <w:sz w:val="24"/>
                <w:szCs w:val="24"/>
                <w:lang w:eastAsia="zh-CN"/>
              </w:rPr>
            </w:pPr>
          </w:p>
          <w:p>
            <w:pPr>
              <w:pStyle w:val="35"/>
              <w:keepNext w:val="0"/>
              <w:keepLines w:val="0"/>
              <w:pageBreakBefore w:val="0"/>
              <w:widowControl w:val="0"/>
              <w:kinsoku/>
              <w:wordWrap/>
              <w:overflowPunct/>
              <w:topLinePunct w:val="0"/>
              <w:autoSpaceDE/>
              <w:autoSpaceDN/>
              <w:bidi w:val="0"/>
              <w:adjustRightInd/>
              <w:snapToGrid/>
              <w:spacing w:line="320" w:lineRule="exact"/>
              <w:textAlignment w:val="auto"/>
              <w:rPr>
                <w:rFonts w:ascii="楷体" w:hAnsi="楷体" w:eastAsia="楷体" w:cs="楷体"/>
                <w:snapToGrid w:val="0"/>
                <w:spacing w:val="0"/>
                <w:sz w:val="24"/>
                <w:szCs w:val="24"/>
                <w:lang w:eastAsia="zh-CN"/>
              </w:rPr>
            </w:pPr>
            <w:r>
              <w:rPr>
                <w:rFonts w:hint="eastAsia" w:ascii="楷体" w:hAnsi="楷体" w:eastAsia="楷体" w:cs="楷体"/>
                <w:snapToGrid w:val="0"/>
                <w:spacing w:val="0"/>
                <w:sz w:val="24"/>
                <w:szCs w:val="24"/>
                <w:lang w:eastAsia="zh-CN"/>
              </w:rPr>
              <w:t>基础</w:t>
            </w:r>
            <w:r>
              <w:rPr>
                <w:rFonts w:ascii="楷体" w:hAnsi="楷体" w:eastAsia="楷体" w:cs="楷体"/>
                <w:snapToGrid w:val="0"/>
                <w:spacing w:val="0"/>
                <w:sz w:val="24"/>
                <w:szCs w:val="24"/>
                <w:lang w:eastAsia="zh-CN"/>
              </w:rPr>
              <w:t>教育优质均衡</w:t>
            </w:r>
            <w:r>
              <w:rPr>
                <w:rFonts w:hint="eastAsia" w:ascii="楷体" w:hAnsi="楷体" w:eastAsia="楷体" w:cs="楷体"/>
                <w:snapToGrid w:val="0"/>
                <w:spacing w:val="0"/>
                <w:sz w:val="24"/>
                <w:szCs w:val="24"/>
                <w:lang w:eastAsia="zh-CN"/>
              </w:rPr>
              <w:t>提升计划</w:t>
            </w:r>
          </w:p>
        </w:tc>
        <w:tc>
          <w:tcPr>
            <w:tcW w:w="8171" w:type="dxa"/>
            <w:tcBorders>
              <w:top w:val="single" w:color="auto" w:sz="4" w:space="0"/>
              <w:left w:val="single" w:color="000000" w:sz="4" w:space="0"/>
              <w:bottom w:val="single" w:color="auto" w:sz="4" w:space="0"/>
              <w:right w:val="single" w:color="000000" w:sz="4" w:space="0"/>
            </w:tcBorders>
          </w:tcPr>
          <w:p>
            <w:pPr>
              <w:pStyle w:val="35"/>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ascii="楷体" w:hAnsi="楷体" w:eastAsia="楷体" w:cs="楷体"/>
                <w:snapToGrid w:val="0"/>
                <w:spacing w:val="0"/>
                <w:sz w:val="24"/>
                <w:szCs w:val="24"/>
                <w:lang w:eastAsia="zh-CN"/>
              </w:rPr>
            </w:pPr>
            <w:r>
              <w:rPr>
                <w:rFonts w:ascii="楷体" w:hAnsi="楷体" w:eastAsia="楷体" w:cs="楷体"/>
                <w:snapToGrid w:val="0"/>
                <w:spacing w:val="0"/>
                <w:sz w:val="24"/>
                <w:szCs w:val="24"/>
                <w:lang w:eastAsia="zh-CN"/>
              </w:rPr>
              <w:t>启动实施优质均衡县区督导评估专项计划。推进集团化办学改革，创建</w:t>
            </w:r>
            <w:r>
              <w:rPr>
                <w:rFonts w:hint="eastAsia" w:ascii="楷体" w:hAnsi="楷体" w:eastAsia="楷体" w:cs="楷体"/>
                <w:snapToGrid w:val="0"/>
                <w:spacing w:val="0"/>
                <w:sz w:val="24"/>
                <w:szCs w:val="24"/>
                <w:lang w:eastAsia="zh-CN"/>
              </w:rPr>
              <w:t>10</w:t>
            </w:r>
            <w:r>
              <w:rPr>
                <w:rFonts w:ascii="楷体" w:hAnsi="楷体" w:eastAsia="楷体" w:cs="楷体"/>
                <w:snapToGrid w:val="0"/>
                <w:spacing w:val="0"/>
                <w:sz w:val="24"/>
                <w:szCs w:val="24"/>
                <w:lang w:eastAsia="zh-CN"/>
              </w:rPr>
              <w:t>个优质特色</w:t>
            </w:r>
            <w:r>
              <w:rPr>
                <w:rFonts w:hint="eastAsia" w:ascii="楷体" w:hAnsi="楷体" w:eastAsia="楷体" w:cs="楷体"/>
                <w:snapToGrid w:val="0"/>
                <w:spacing w:val="0"/>
                <w:sz w:val="24"/>
                <w:szCs w:val="24"/>
                <w:lang w:eastAsia="zh-CN"/>
              </w:rPr>
              <w:t>义务</w:t>
            </w:r>
            <w:r>
              <w:rPr>
                <w:rFonts w:ascii="楷体" w:hAnsi="楷体" w:eastAsia="楷体" w:cs="楷体"/>
                <w:snapToGrid w:val="0"/>
                <w:spacing w:val="0"/>
                <w:sz w:val="24"/>
                <w:szCs w:val="24"/>
                <w:lang w:eastAsia="zh-CN"/>
              </w:rPr>
              <w:t>教育集团，</w:t>
            </w:r>
            <w:r>
              <w:rPr>
                <w:rFonts w:hint="eastAsia" w:ascii="楷体" w:hAnsi="楷体" w:eastAsia="楷体" w:cs="楷体"/>
                <w:snapToGrid w:val="0"/>
                <w:spacing w:val="0"/>
                <w:sz w:val="24"/>
                <w:szCs w:val="24"/>
                <w:lang w:eastAsia="zh-CN"/>
              </w:rPr>
              <w:t>争取</w:t>
            </w:r>
            <w:r>
              <w:rPr>
                <w:rFonts w:hint="eastAsia" w:ascii="楷体" w:hAnsi="楷体" w:eastAsia="楷体" w:cs="楷体"/>
                <w:snapToGrid w:val="0"/>
                <w:spacing w:val="0"/>
                <w:sz w:val="24"/>
                <w:szCs w:val="24"/>
                <w:lang w:val="en-US" w:eastAsia="zh-CN"/>
              </w:rPr>
              <w:t>2</w:t>
            </w:r>
            <w:r>
              <w:rPr>
                <w:rFonts w:hint="eastAsia" w:ascii="楷体" w:hAnsi="楷体" w:eastAsia="楷体" w:cs="楷体"/>
                <w:snapToGrid w:val="0"/>
                <w:spacing w:val="0"/>
                <w:sz w:val="24"/>
                <w:szCs w:val="24"/>
                <w:lang w:eastAsia="zh-CN"/>
              </w:rPr>
              <w:t>个县区达到区域优质均衡</w:t>
            </w:r>
            <w:r>
              <w:rPr>
                <w:rFonts w:ascii="楷体" w:hAnsi="楷体" w:eastAsia="楷体" w:cs="楷体"/>
                <w:snapToGrid w:val="0"/>
                <w:spacing w:val="0"/>
                <w:sz w:val="24"/>
                <w:szCs w:val="24"/>
                <w:lang w:eastAsia="zh-CN"/>
              </w:rPr>
              <w:t>。</w:t>
            </w:r>
            <w:r>
              <w:rPr>
                <w:rFonts w:hint="eastAsia" w:ascii="楷体" w:hAnsi="楷体" w:eastAsia="楷体" w:cs="楷体"/>
                <w:snapToGrid w:val="0"/>
                <w:color w:val="auto"/>
                <w:spacing w:val="0"/>
                <w:sz w:val="24"/>
                <w:szCs w:val="24"/>
                <w:lang w:eastAsia="zh-CN"/>
              </w:rPr>
              <w:t>新建、改扩建及续建义务教育学校3</w:t>
            </w:r>
            <w:r>
              <w:rPr>
                <w:rFonts w:hint="eastAsia" w:ascii="楷体" w:hAnsi="楷体" w:eastAsia="楷体" w:cs="楷体"/>
                <w:snapToGrid w:val="0"/>
                <w:color w:val="auto"/>
                <w:spacing w:val="0"/>
                <w:sz w:val="24"/>
                <w:szCs w:val="24"/>
                <w:lang w:val="en-US" w:eastAsia="zh-CN"/>
              </w:rPr>
              <w:t>65</w:t>
            </w:r>
            <w:r>
              <w:rPr>
                <w:rFonts w:hint="eastAsia" w:ascii="楷体" w:hAnsi="楷体" w:eastAsia="楷体" w:cs="楷体"/>
                <w:snapToGrid w:val="0"/>
                <w:color w:val="auto"/>
                <w:spacing w:val="0"/>
                <w:sz w:val="24"/>
                <w:szCs w:val="24"/>
                <w:lang w:eastAsia="zh-CN"/>
              </w:rPr>
              <w:t>所、普通高中</w:t>
            </w:r>
            <w:r>
              <w:rPr>
                <w:rFonts w:hint="eastAsia" w:ascii="楷体" w:hAnsi="楷体" w:eastAsia="楷体" w:cs="楷体"/>
                <w:snapToGrid w:val="0"/>
                <w:color w:val="auto"/>
                <w:spacing w:val="0"/>
                <w:sz w:val="24"/>
                <w:szCs w:val="24"/>
                <w:lang w:val="en-US" w:eastAsia="zh-CN"/>
              </w:rPr>
              <w:t>30所，</w:t>
            </w:r>
            <w:r>
              <w:rPr>
                <w:rFonts w:ascii="楷体" w:hAnsi="楷体" w:eastAsia="楷体" w:cs="楷体"/>
                <w:snapToGrid w:val="0"/>
                <w:color w:val="auto"/>
                <w:spacing w:val="0"/>
                <w:sz w:val="24"/>
                <w:szCs w:val="24"/>
                <w:lang w:eastAsia="zh-CN"/>
              </w:rPr>
              <w:t>深化教育教学改革，培育“五育”并举省级典型实验区</w:t>
            </w:r>
            <w:r>
              <w:rPr>
                <w:rFonts w:hint="eastAsia" w:ascii="楷体" w:hAnsi="楷体" w:eastAsia="楷体" w:cs="楷体"/>
                <w:snapToGrid w:val="0"/>
                <w:color w:val="auto"/>
                <w:spacing w:val="0"/>
                <w:sz w:val="24"/>
                <w:szCs w:val="24"/>
                <w:lang w:eastAsia="zh-CN"/>
              </w:rPr>
              <w:t>2</w:t>
            </w:r>
            <w:r>
              <w:rPr>
                <w:rFonts w:ascii="楷体" w:hAnsi="楷体" w:eastAsia="楷体" w:cs="楷体"/>
                <w:snapToGrid w:val="0"/>
                <w:color w:val="auto"/>
                <w:spacing w:val="0"/>
                <w:sz w:val="24"/>
                <w:szCs w:val="24"/>
                <w:lang w:eastAsia="zh-CN"/>
              </w:rPr>
              <w:t>个、实验学校</w:t>
            </w:r>
            <w:r>
              <w:rPr>
                <w:rFonts w:hint="eastAsia" w:ascii="楷体" w:hAnsi="楷体" w:eastAsia="楷体" w:cs="楷体"/>
                <w:snapToGrid w:val="0"/>
                <w:color w:val="auto"/>
                <w:spacing w:val="0"/>
                <w:sz w:val="24"/>
                <w:szCs w:val="24"/>
                <w:lang w:eastAsia="zh-CN"/>
              </w:rPr>
              <w:t>50</w:t>
            </w:r>
            <w:r>
              <w:rPr>
                <w:rFonts w:ascii="楷体" w:hAnsi="楷体" w:eastAsia="楷体" w:cs="楷体"/>
                <w:snapToGrid w:val="0"/>
                <w:color w:val="auto"/>
                <w:spacing w:val="0"/>
                <w:sz w:val="24"/>
                <w:szCs w:val="24"/>
                <w:lang w:eastAsia="zh-CN"/>
              </w:rPr>
              <w:t>所；</w:t>
            </w:r>
            <w:r>
              <w:rPr>
                <w:rFonts w:hint="eastAsia" w:ascii="楷体" w:hAnsi="楷体" w:eastAsia="楷体" w:cs="楷体"/>
                <w:snapToGrid w:val="0"/>
                <w:color w:val="auto"/>
                <w:spacing w:val="0"/>
                <w:sz w:val="24"/>
                <w:szCs w:val="24"/>
                <w:lang w:eastAsia="zh-CN"/>
              </w:rPr>
              <w:t>高考一本上线率明显提升，有2-3所普通高中进入全省名优普通高中行列。</w:t>
            </w:r>
            <w:r>
              <w:rPr>
                <w:rFonts w:hint="eastAsia" w:ascii="楷体" w:hAnsi="楷体" w:eastAsia="楷体" w:cs="楷体"/>
                <w:snapToGrid w:val="0"/>
                <w:spacing w:val="0"/>
                <w:sz w:val="24"/>
                <w:szCs w:val="24"/>
                <w:lang w:eastAsia="zh-CN"/>
              </w:rPr>
              <w:t>义务教育学校和普通高中全部消除大班额；全市中小学校全部达到《河南省中小学校数字校园评估标准（</w:t>
            </w:r>
            <w:r>
              <w:rPr>
                <w:rFonts w:hint="eastAsia" w:ascii="楷体" w:hAnsi="楷体" w:eastAsia="楷体" w:cs="楷体"/>
                <w:snapToGrid w:val="0"/>
                <w:spacing w:val="0"/>
                <w:sz w:val="24"/>
                <w:szCs w:val="24"/>
                <w:lang w:val="en-US" w:eastAsia="zh-CN"/>
              </w:rPr>
              <w:t>V2.0</w:t>
            </w:r>
            <w:r>
              <w:rPr>
                <w:rFonts w:hint="eastAsia" w:ascii="楷体" w:hAnsi="楷体" w:eastAsia="楷体" w:cs="楷体"/>
                <w:snapToGrid w:val="0"/>
                <w:spacing w:val="0"/>
                <w:sz w:val="24"/>
                <w:szCs w:val="24"/>
                <w:lang w:eastAsia="zh-CN"/>
              </w:rPr>
              <w:t>）》要求。</w:t>
            </w:r>
          </w:p>
        </w:tc>
      </w:tr>
      <w:tr>
        <w:tblPrEx>
          <w:tblCellMar>
            <w:top w:w="0" w:type="dxa"/>
            <w:left w:w="0" w:type="dxa"/>
            <w:bottom w:w="0" w:type="dxa"/>
            <w:right w:w="0" w:type="dxa"/>
          </w:tblCellMar>
        </w:tblPrEx>
        <w:trPr>
          <w:trHeight w:val="1648" w:hRule="exact"/>
        </w:trPr>
        <w:tc>
          <w:tcPr>
            <w:tcW w:w="1044" w:type="dxa"/>
            <w:tcBorders>
              <w:top w:val="single" w:color="auto" w:sz="4" w:space="0"/>
              <w:left w:val="single" w:color="auto" w:sz="4" w:space="0"/>
              <w:bottom w:val="single" w:color="auto" w:sz="4" w:space="0"/>
              <w:right w:val="single" w:color="auto" w:sz="4" w:space="0"/>
            </w:tcBorders>
          </w:tcPr>
          <w:p>
            <w:pPr>
              <w:pStyle w:val="35"/>
              <w:keepNext w:val="0"/>
              <w:keepLines w:val="0"/>
              <w:pageBreakBefore w:val="0"/>
              <w:widowControl w:val="0"/>
              <w:kinsoku/>
              <w:wordWrap/>
              <w:overflowPunct/>
              <w:topLinePunct w:val="0"/>
              <w:autoSpaceDE/>
              <w:autoSpaceDN/>
              <w:bidi w:val="0"/>
              <w:adjustRightInd/>
              <w:snapToGrid/>
              <w:spacing w:before="1" w:line="320" w:lineRule="exact"/>
              <w:textAlignment w:val="auto"/>
              <w:rPr>
                <w:rFonts w:ascii="楷体" w:hAnsi="楷体" w:eastAsia="楷体" w:cs="楷体"/>
                <w:snapToGrid w:val="0"/>
                <w:spacing w:val="0"/>
                <w:sz w:val="24"/>
                <w:szCs w:val="24"/>
                <w:lang w:eastAsia="zh-CN"/>
              </w:rPr>
            </w:pPr>
          </w:p>
          <w:p>
            <w:pPr>
              <w:pStyle w:val="35"/>
              <w:keepNext w:val="0"/>
              <w:keepLines w:val="0"/>
              <w:pageBreakBefore w:val="0"/>
              <w:widowControl w:val="0"/>
              <w:kinsoku/>
              <w:wordWrap/>
              <w:overflowPunct/>
              <w:topLinePunct w:val="0"/>
              <w:autoSpaceDE/>
              <w:autoSpaceDN/>
              <w:bidi w:val="0"/>
              <w:adjustRightInd/>
              <w:snapToGrid/>
              <w:spacing w:line="320" w:lineRule="exact"/>
              <w:textAlignment w:val="auto"/>
              <w:rPr>
                <w:rFonts w:ascii="楷体" w:hAnsi="楷体" w:eastAsia="楷体" w:cs="楷体"/>
                <w:snapToGrid w:val="0"/>
                <w:spacing w:val="0"/>
                <w:sz w:val="24"/>
                <w:szCs w:val="24"/>
                <w:lang w:eastAsia="zh-CN"/>
              </w:rPr>
            </w:pPr>
            <w:r>
              <w:rPr>
                <w:rFonts w:ascii="楷体" w:hAnsi="楷体" w:eastAsia="楷体" w:cs="楷体"/>
                <w:snapToGrid w:val="0"/>
                <w:spacing w:val="0"/>
                <w:sz w:val="24"/>
                <w:szCs w:val="24"/>
                <w:lang w:eastAsia="zh-CN"/>
              </w:rPr>
              <w:t>职业教育质量提升工程</w:t>
            </w:r>
          </w:p>
        </w:tc>
        <w:tc>
          <w:tcPr>
            <w:tcW w:w="8171" w:type="dxa"/>
            <w:tcBorders>
              <w:top w:val="single" w:color="auto" w:sz="4" w:space="0"/>
              <w:left w:val="single" w:color="auto" w:sz="4" w:space="0"/>
              <w:bottom w:val="single" w:color="auto" w:sz="4" w:space="0"/>
              <w:right w:val="single" w:color="auto" w:sz="4" w:space="0"/>
            </w:tcBorders>
          </w:tcPr>
          <w:p>
            <w:pPr>
              <w:pStyle w:val="35"/>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ascii="楷体" w:hAnsi="楷体" w:eastAsia="楷体" w:cs="楷体"/>
                <w:snapToGrid w:val="0"/>
                <w:color w:val="auto"/>
                <w:spacing w:val="0"/>
                <w:sz w:val="24"/>
                <w:szCs w:val="24"/>
                <w:lang w:eastAsia="zh-CN"/>
              </w:rPr>
            </w:pPr>
            <w:r>
              <w:rPr>
                <w:rFonts w:hint="eastAsia" w:ascii="楷体" w:hAnsi="楷体" w:eastAsia="楷体" w:cs="楷体"/>
                <w:snapToGrid w:val="0"/>
                <w:color w:val="auto"/>
                <w:spacing w:val="0"/>
                <w:sz w:val="24"/>
                <w:szCs w:val="24"/>
                <w:lang w:eastAsia="zh-CN"/>
              </w:rPr>
              <w:t>全市职业院校在校生规模保持16万人左右，其中，中等职业学校在校生规模达到12万人(含技工院校)。每年完成各类职业技能培训</w:t>
            </w:r>
            <w:r>
              <w:rPr>
                <w:rFonts w:hint="eastAsia" w:ascii="楷体" w:hAnsi="楷体" w:eastAsia="楷体" w:cs="楷体"/>
                <w:snapToGrid w:val="0"/>
                <w:color w:val="auto"/>
                <w:spacing w:val="0"/>
                <w:sz w:val="24"/>
                <w:szCs w:val="24"/>
                <w:lang w:val="en-US" w:eastAsia="zh-CN"/>
              </w:rPr>
              <w:t>5</w:t>
            </w:r>
            <w:r>
              <w:rPr>
                <w:rFonts w:hint="eastAsia" w:ascii="楷体" w:hAnsi="楷体" w:eastAsia="楷体" w:cs="楷体"/>
                <w:snapToGrid w:val="0"/>
                <w:color w:val="auto"/>
                <w:spacing w:val="0"/>
                <w:sz w:val="24"/>
                <w:szCs w:val="24"/>
                <w:lang w:eastAsia="zh-CN"/>
              </w:rPr>
              <w:t>万人次左右。</w:t>
            </w:r>
            <w:r>
              <w:rPr>
                <w:rFonts w:ascii="楷体" w:hAnsi="楷体" w:eastAsia="楷体" w:cs="楷体"/>
                <w:snapToGrid w:val="0"/>
                <w:color w:val="auto"/>
                <w:spacing w:val="0"/>
                <w:sz w:val="24"/>
                <w:szCs w:val="24"/>
                <w:lang w:eastAsia="zh-CN"/>
              </w:rPr>
              <w:t>高职规模达到</w:t>
            </w:r>
            <w:r>
              <w:rPr>
                <w:rFonts w:hint="eastAsia" w:ascii="楷体" w:hAnsi="楷体" w:eastAsia="楷体" w:cs="楷体"/>
                <w:snapToGrid w:val="0"/>
                <w:color w:val="auto"/>
                <w:spacing w:val="0"/>
                <w:sz w:val="24"/>
                <w:szCs w:val="24"/>
                <w:lang w:val="en-US" w:eastAsia="zh-CN"/>
              </w:rPr>
              <w:t>4</w:t>
            </w:r>
            <w:r>
              <w:rPr>
                <w:rFonts w:ascii="楷体" w:hAnsi="楷体" w:eastAsia="楷体" w:cs="楷体"/>
                <w:snapToGrid w:val="0"/>
                <w:color w:val="auto"/>
                <w:spacing w:val="0"/>
                <w:sz w:val="24"/>
                <w:szCs w:val="24"/>
                <w:lang w:eastAsia="zh-CN"/>
              </w:rPr>
              <w:t>万人。“双师型”教师占专业课教师的比例</w:t>
            </w:r>
            <w:r>
              <w:rPr>
                <w:rFonts w:hint="eastAsia" w:ascii="楷体" w:hAnsi="楷体" w:eastAsia="楷体" w:cs="楷体"/>
                <w:snapToGrid w:val="0"/>
                <w:color w:val="auto"/>
                <w:spacing w:val="0"/>
                <w:sz w:val="24"/>
                <w:szCs w:val="24"/>
                <w:lang w:eastAsia="zh-CN"/>
              </w:rPr>
              <w:t>达到</w:t>
            </w:r>
            <w:r>
              <w:rPr>
                <w:rFonts w:hint="eastAsia" w:ascii="楷体" w:hAnsi="楷体" w:eastAsia="楷体" w:cs="楷体"/>
                <w:snapToGrid w:val="0"/>
                <w:color w:val="auto"/>
                <w:spacing w:val="0"/>
                <w:sz w:val="24"/>
                <w:szCs w:val="24"/>
                <w:lang w:val="en-US" w:eastAsia="zh-CN"/>
              </w:rPr>
              <w:t>6</w:t>
            </w:r>
            <w:r>
              <w:rPr>
                <w:rFonts w:ascii="楷体" w:hAnsi="楷体" w:eastAsia="楷体" w:cs="楷体"/>
                <w:snapToGrid w:val="0"/>
                <w:color w:val="auto"/>
                <w:spacing w:val="0"/>
                <w:sz w:val="24"/>
                <w:szCs w:val="24"/>
                <w:lang w:eastAsia="zh-CN"/>
              </w:rPr>
              <w:t>0%，现代学徒制培养比例超过10%</w:t>
            </w:r>
            <w:r>
              <w:rPr>
                <w:rFonts w:hint="eastAsia" w:ascii="楷体" w:hAnsi="楷体" w:eastAsia="楷体" w:cs="楷体"/>
                <w:snapToGrid w:val="0"/>
                <w:color w:val="auto"/>
                <w:spacing w:val="0"/>
                <w:sz w:val="24"/>
                <w:szCs w:val="24"/>
                <w:lang w:eastAsia="zh-CN"/>
              </w:rPr>
              <w:t>。</w:t>
            </w:r>
            <w:r>
              <w:rPr>
                <w:rFonts w:ascii="楷体" w:hAnsi="楷体" w:eastAsia="楷体" w:cs="楷体"/>
                <w:snapToGrid w:val="0"/>
                <w:color w:val="auto"/>
                <w:spacing w:val="0"/>
                <w:sz w:val="24"/>
                <w:szCs w:val="24"/>
                <w:lang w:eastAsia="zh-CN"/>
              </w:rPr>
              <w:t>市内规模以上企业参与职业教育（集团化办学）比例达70%</w:t>
            </w:r>
            <w:r>
              <w:rPr>
                <w:rFonts w:hint="eastAsia" w:ascii="楷体" w:hAnsi="楷体" w:eastAsia="楷体" w:cs="楷体"/>
                <w:snapToGrid w:val="0"/>
                <w:color w:val="auto"/>
                <w:spacing w:val="0"/>
                <w:sz w:val="24"/>
                <w:szCs w:val="24"/>
                <w:lang w:eastAsia="zh-CN"/>
              </w:rPr>
              <w:t>。</w:t>
            </w:r>
            <w:r>
              <w:rPr>
                <w:rFonts w:ascii="楷体" w:hAnsi="楷体" w:eastAsia="楷体" w:cs="楷体"/>
                <w:snapToGrid w:val="0"/>
                <w:color w:val="auto"/>
                <w:spacing w:val="0"/>
                <w:sz w:val="24"/>
                <w:szCs w:val="24"/>
                <w:lang w:eastAsia="zh-CN"/>
              </w:rPr>
              <w:t>优质职业学校年培训人次达到在校生规模的2倍以上。</w:t>
            </w:r>
          </w:p>
        </w:tc>
      </w:tr>
      <w:tr>
        <w:tblPrEx>
          <w:tblCellMar>
            <w:top w:w="0" w:type="dxa"/>
            <w:left w:w="0" w:type="dxa"/>
            <w:bottom w:w="0" w:type="dxa"/>
            <w:right w:w="0" w:type="dxa"/>
          </w:tblCellMar>
        </w:tblPrEx>
        <w:trPr>
          <w:trHeight w:val="1923" w:hRule="exact"/>
        </w:trPr>
        <w:tc>
          <w:tcPr>
            <w:tcW w:w="1044" w:type="dxa"/>
            <w:tcBorders>
              <w:top w:val="single" w:color="auto" w:sz="4" w:space="0"/>
              <w:left w:val="single" w:color="auto" w:sz="4" w:space="0"/>
              <w:bottom w:val="single" w:color="auto" w:sz="4" w:space="0"/>
              <w:right w:val="single" w:color="auto" w:sz="4" w:space="0"/>
            </w:tcBorders>
          </w:tcPr>
          <w:p>
            <w:pPr>
              <w:pStyle w:val="35"/>
              <w:keepNext w:val="0"/>
              <w:keepLines w:val="0"/>
              <w:pageBreakBefore w:val="0"/>
              <w:widowControl w:val="0"/>
              <w:kinsoku/>
              <w:wordWrap/>
              <w:overflowPunct/>
              <w:topLinePunct w:val="0"/>
              <w:autoSpaceDE/>
              <w:autoSpaceDN/>
              <w:bidi w:val="0"/>
              <w:adjustRightInd/>
              <w:snapToGrid/>
              <w:spacing w:line="320" w:lineRule="exact"/>
              <w:ind w:left="103"/>
              <w:textAlignment w:val="auto"/>
              <w:rPr>
                <w:rFonts w:ascii="楷体" w:hAnsi="楷体" w:eastAsia="楷体" w:cs="楷体"/>
                <w:snapToGrid w:val="0"/>
                <w:spacing w:val="0"/>
                <w:sz w:val="24"/>
                <w:szCs w:val="24"/>
                <w:lang w:eastAsia="zh-CN"/>
              </w:rPr>
            </w:pPr>
          </w:p>
          <w:p>
            <w:pPr>
              <w:pStyle w:val="35"/>
              <w:keepNext w:val="0"/>
              <w:keepLines w:val="0"/>
              <w:pageBreakBefore w:val="0"/>
              <w:widowControl w:val="0"/>
              <w:kinsoku/>
              <w:wordWrap/>
              <w:overflowPunct/>
              <w:topLinePunct w:val="0"/>
              <w:autoSpaceDE/>
              <w:autoSpaceDN/>
              <w:bidi w:val="0"/>
              <w:adjustRightInd/>
              <w:snapToGrid/>
              <w:spacing w:line="320" w:lineRule="exact"/>
              <w:textAlignment w:val="auto"/>
              <w:rPr>
                <w:rFonts w:ascii="楷体" w:hAnsi="楷体" w:eastAsia="楷体" w:cs="楷体"/>
                <w:snapToGrid w:val="0"/>
                <w:spacing w:val="0"/>
                <w:sz w:val="24"/>
                <w:szCs w:val="24"/>
                <w:lang w:eastAsia="zh-CN"/>
              </w:rPr>
            </w:pPr>
            <w:r>
              <w:rPr>
                <w:rFonts w:ascii="楷体" w:hAnsi="楷体" w:eastAsia="楷体" w:cs="楷体"/>
                <w:snapToGrid w:val="0"/>
                <w:spacing w:val="0"/>
                <w:sz w:val="24"/>
                <w:szCs w:val="24"/>
                <w:lang w:eastAsia="zh-CN"/>
              </w:rPr>
              <w:t>高等教育提速增能工程</w:t>
            </w:r>
          </w:p>
        </w:tc>
        <w:tc>
          <w:tcPr>
            <w:tcW w:w="8171" w:type="dxa"/>
            <w:tcBorders>
              <w:top w:val="single" w:color="auto" w:sz="4" w:space="0"/>
              <w:left w:val="single" w:color="auto" w:sz="4" w:space="0"/>
              <w:bottom w:val="single" w:color="auto" w:sz="4" w:space="0"/>
              <w:right w:val="single" w:color="auto" w:sz="4" w:space="0"/>
            </w:tcBorders>
          </w:tcPr>
          <w:p>
            <w:pPr>
              <w:pStyle w:val="35"/>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ascii="楷体" w:hAnsi="楷体" w:eastAsia="楷体" w:cs="楷体"/>
                <w:snapToGrid w:val="0"/>
                <w:color w:val="auto"/>
                <w:spacing w:val="0"/>
                <w:sz w:val="24"/>
                <w:szCs w:val="24"/>
                <w:lang w:eastAsia="zh-CN"/>
              </w:rPr>
            </w:pPr>
            <w:r>
              <w:rPr>
                <w:rFonts w:hint="eastAsia" w:ascii="楷体" w:hAnsi="楷体" w:eastAsia="楷体" w:cs="楷体"/>
                <w:snapToGrid w:val="0"/>
                <w:color w:val="auto"/>
                <w:spacing w:val="0"/>
                <w:sz w:val="24"/>
                <w:szCs w:val="24"/>
                <w:lang w:eastAsia="zh-CN"/>
              </w:rPr>
              <w:t>积极推进黄淮学院应用型本科高质量发展。大力发展专科层次职业教育，建设发展好驻马店职业技术学院和驻马店幼儿师范高等专科学校，适时发展本科层次职业教育。积极筹建“驻马店农业工程职业学院”等适应地方产业发展的高等职业院校。引进优质高校来我市办学，努力扩大高等职业教育规模。高等教育毛入学率升至60%，达到全国平均水平。提升高校内涵发展水平，有效增强高校服务驻马店经济社会发展能力。</w:t>
            </w:r>
          </w:p>
        </w:tc>
      </w:tr>
    </w:tbl>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snapToGrid w:val="0"/>
          <w:color w:val="000000" w:themeColor="text1"/>
          <w:spacing w:val="0"/>
          <w:sz w:val="28"/>
          <w:szCs w:val="28"/>
          <w14:textFill>
            <w14:solidFill>
              <w14:schemeClr w14:val="tx1"/>
            </w14:solidFill>
          </w14:textFill>
        </w:rPr>
      </w:pP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立德树人有成效。习近平新时代中国特色社会主义思想“</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进教材、进</w:t>
      </w:r>
      <w:r>
        <w:rPr>
          <w:rFonts w:hint="eastAsia" w:ascii="仿宋_GB2312" w:hAnsi="仿宋_GB2312" w:eastAsia="仿宋_GB2312" w:cs="仿宋_GB2312"/>
          <w:snapToGrid w:val="0"/>
          <w:color w:val="auto"/>
          <w:spacing w:val="0"/>
          <w:sz w:val="28"/>
          <w:szCs w:val="28"/>
          <w:lang w:eastAsia="zh-CN"/>
        </w:rPr>
        <w:t>课堂</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、进头脑</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成效更为显著，立德树人的系统化落实机制基本形成，体育、美育和劳动教育短板得到弥补，德智体美劳全面培养的教育体系日趋完善，大中小幼一体化思政工作体系更加健全，学校家庭社会协同育人合力进一步增强，教育生态更加优化，学生综合素质全面提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snapToGrid w:val="0"/>
          <w:spacing w:val="0"/>
          <w:sz w:val="28"/>
          <w:szCs w:val="28"/>
        </w:rPr>
      </w:pP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基础教育</w:t>
      </w:r>
      <w:r>
        <w:rPr>
          <w:rFonts w:hint="eastAsia" w:ascii="仿宋_GB2312" w:hAnsi="仿宋_GB2312" w:eastAsia="仿宋_GB2312" w:cs="仿宋_GB2312"/>
          <w:snapToGrid w:val="0"/>
          <w:spacing w:val="0"/>
          <w:sz w:val="28"/>
          <w:szCs w:val="28"/>
        </w:rPr>
        <w:t>增实力。全面提高基本公共教育发展水平。进一步扩充学前教育资源，加大普惠性学前教育发展力度，学前三年毛入园率达到93%以上，普惠性幼儿园覆盖率达到85%以上，保教质量明显提升。义务教育工作重点转向推进优质均衡、县域内城乡义务教育一体化发展，城乡之间、校际之间办学水平差距进一步缩小，义务教育巩固率达到9</w:t>
      </w:r>
      <w:r>
        <w:rPr>
          <w:rFonts w:hint="eastAsia" w:ascii="仿宋_GB2312" w:hAnsi="仿宋_GB2312" w:eastAsia="仿宋_GB2312" w:cs="仿宋_GB2312"/>
          <w:snapToGrid w:val="0"/>
          <w:spacing w:val="0"/>
          <w:sz w:val="28"/>
          <w:szCs w:val="28"/>
          <w:lang w:val="en-US" w:eastAsia="zh-CN"/>
        </w:rPr>
        <w:t>6.5</w:t>
      </w:r>
      <w:r>
        <w:rPr>
          <w:rFonts w:hint="eastAsia" w:ascii="仿宋_GB2312" w:hAnsi="仿宋_GB2312" w:eastAsia="仿宋_GB2312" w:cs="仿宋_GB2312"/>
          <w:snapToGrid w:val="0"/>
          <w:spacing w:val="0"/>
          <w:sz w:val="28"/>
          <w:szCs w:val="28"/>
        </w:rPr>
        <w:t>%。全面普及高中阶段教育，高中阶段毛入学率达到9</w:t>
      </w:r>
      <w:r>
        <w:rPr>
          <w:rFonts w:hint="eastAsia" w:ascii="仿宋_GB2312" w:hAnsi="仿宋_GB2312" w:eastAsia="仿宋_GB2312" w:cs="仿宋_GB2312"/>
          <w:snapToGrid w:val="0"/>
          <w:spacing w:val="0"/>
          <w:sz w:val="28"/>
          <w:szCs w:val="28"/>
          <w:lang w:val="en-US" w:eastAsia="zh-CN"/>
        </w:rPr>
        <w:t>3.5</w:t>
      </w:r>
      <w:r>
        <w:rPr>
          <w:rFonts w:hint="eastAsia" w:ascii="仿宋_GB2312" w:hAnsi="仿宋_GB2312" w:eastAsia="仿宋_GB2312" w:cs="仿宋_GB2312"/>
          <w:snapToGrid w:val="0"/>
          <w:spacing w:val="0"/>
          <w:sz w:val="28"/>
          <w:szCs w:val="28"/>
        </w:rPr>
        <w:t>%，普通高中多样化、特色化发展基本实现。</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snapToGrid w:val="0"/>
          <w:color w:val="000000" w:themeColor="text1"/>
          <w:spacing w:val="0"/>
          <w:kern w:val="0"/>
          <w:sz w:val="28"/>
          <w:szCs w:val="28"/>
          <w14:textFill>
            <w14:solidFill>
              <w14:schemeClr w14:val="tx1"/>
            </w14:solidFill>
          </w14:textFill>
        </w:rPr>
      </w:pPr>
      <w:r>
        <w:rPr>
          <w:rFonts w:hint="eastAsia" w:ascii="仿宋_GB2312" w:hAnsi="仿宋_GB2312" w:eastAsia="仿宋_GB2312" w:cs="仿宋_GB2312"/>
          <w:snapToGrid w:val="0"/>
          <w:spacing w:val="0"/>
          <w:kern w:val="0"/>
          <w:sz w:val="28"/>
          <w:szCs w:val="28"/>
        </w:rPr>
        <w:t>职业教育</w:t>
      </w:r>
      <w:r>
        <w:rPr>
          <w:rFonts w:hint="eastAsia" w:ascii="仿宋_GB2312" w:hAnsi="仿宋_GB2312" w:eastAsia="仿宋_GB2312" w:cs="仿宋_GB2312"/>
          <w:snapToGrid w:val="0"/>
          <w:spacing w:val="0"/>
          <w:kern w:val="0"/>
          <w:sz w:val="28"/>
          <w:szCs w:val="28"/>
          <w:lang w:eastAsia="zh-CN"/>
        </w:rPr>
        <w:t>促发展</w:t>
      </w:r>
      <w:r>
        <w:rPr>
          <w:rFonts w:hint="eastAsia" w:ascii="仿宋_GB2312" w:hAnsi="仿宋_GB2312" w:eastAsia="仿宋_GB2312" w:cs="仿宋_GB2312"/>
          <w:snapToGrid w:val="0"/>
          <w:color w:val="000000" w:themeColor="text1"/>
          <w:spacing w:val="0"/>
          <w:kern w:val="0"/>
          <w:sz w:val="28"/>
          <w:szCs w:val="28"/>
          <w14:textFill>
            <w14:solidFill>
              <w14:schemeClr w14:val="tx1"/>
            </w14:solidFill>
          </w14:textFill>
        </w:rPr>
        <w:t>。全市职业教育规模结构更加合理，职业院校布局和专业结构与全市经济社会发展更加契合，现代职业教育和培训体系基本形成，职业教育发展环境更加优化，职业院校办学能力和贡献力</w:t>
      </w:r>
      <w:r>
        <w:rPr>
          <w:rFonts w:hint="eastAsia" w:ascii="仿宋_GB2312" w:hAnsi="仿宋_GB2312" w:eastAsia="仿宋_GB2312" w:cs="仿宋_GB2312"/>
          <w:b w:val="0"/>
          <w:bCs w:val="0"/>
          <w:snapToGrid w:val="0"/>
          <w:color w:val="auto"/>
          <w:spacing w:val="0"/>
          <w:kern w:val="0"/>
          <w:sz w:val="28"/>
          <w:szCs w:val="28"/>
          <w:lang w:val="en-US" w:eastAsia="zh-CN"/>
        </w:rPr>
        <w:t>显著增强</w:t>
      </w:r>
      <w:r>
        <w:rPr>
          <w:rFonts w:hint="eastAsia" w:ascii="仿宋_GB2312" w:hAnsi="仿宋_GB2312" w:eastAsia="仿宋_GB2312" w:cs="仿宋_GB2312"/>
          <w:snapToGrid w:val="0"/>
          <w:color w:val="000000" w:themeColor="text1"/>
          <w:spacing w:val="0"/>
          <w:kern w:val="0"/>
          <w:sz w:val="28"/>
          <w:szCs w:val="28"/>
          <w14:textFill>
            <w14:solidFill>
              <w14:schemeClr w14:val="tx1"/>
            </w14:solidFill>
          </w14:textFill>
        </w:rPr>
        <w:t>。</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全市职业院校在校生规模保持16万人左右，其中，中等职业学校在校生规模达到12万人(含技工院校)。每年完成各类职业技能培训</w:t>
      </w:r>
      <w:r>
        <w:rPr>
          <w:rFonts w:hint="eastAsia" w:ascii="仿宋_GB2312" w:hAnsi="仿宋_GB2312" w:eastAsia="仿宋_GB2312" w:cs="仿宋_GB2312"/>
          <w:snapToGrid w:val="0"/>
          <w:color w:val="000000" w:themeColor="text1"/>
          <w:spacing w:val="0"/>
          <w:sz w:val="28"/>
          <w:szCs w:val="28"/>
          <w:lang w:val="en-US" w:eastAsia="zh-CN"/>
          <w14:textFill>
            <w14:solidFill>
              <w14:schemeClr w14:val="tx1"/>
            </w14:solidFill>
          </w14:textFill>
        </w:rPr>
        <w:t>5</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万人次左右。</w:t>
      </w:r>
      <w:r>
        <w:rPr>
          <w:rFonts w:hint="eastAsia" w:ascii="仿宋_GB2312" w:hAnsi="仿宋_GB2312" w:eastAsia="仿宋_GB2312" w:cs="仿宋_GB2312"/>
          <w:snapToGrid w:val="0"/>
          <w:color w:val="000000" w:themeColor="text1"/>
          <w:spacing w:val="0"/>
          <w:kern w:val="0"/>
          <w:sz w:val="28"/>
          <w:szCs w:val="28"/>
          <w14:textFill>
            <w14:solidFill>
              <w14:schemeClr w14:val="tx1"/>
            </w14:solidFill>
          </w14:textFill>
        </w:rPr>
        <w:t>现代学徒制培养比例达到10%。“双师型”教师占专业课教师的比例</w:t>
      </w:r>
      <w:r>
        <w:rPr>
          <w:rFonts w:hint="eastAsia" w:ascii="仿宋_GB2312" w:hAnsi="仿宋_GB2312" w:eastAsia="仿宋_GB2312" w:cs="仿宋_GB2312"/>
          <w:b w:val="0"/>
          <w:bCs w:val="0"/>
          <w:snapToGrid w:val="0"/>
          <w:color w:val="auto"/>
          <w:spacing w:val="0"/>
          <w:kern w:val="0"/>
          <w:sz w:val="28"/>
          <w:szCs w:val="28"/>
          <w:lang w:val="en-US" w:eastAsia="zh-CN"/>
        </w:rPr>
        <w:t>达到60%</w:t>
      </w:r>
      <w:r>
        <w:rPr>
          <w:rFonts w:hint="eastAsia" w:ascii="仿宋_GB2312" w:hAnsi="仿宋_GB2312" w:eastAsia="仿宋_GB2312" w:cs="仿宋_GB2312"/>
          <w:b w:val="0"/>
          <w:bCs w:val="0"/>
          <w:snapToGrid w:val="0"/>
          <w:color w:val="auto"/>
          <w:spacing w:val="0"/>
          <w:kern w:val="0"/>
          <w:sz w:val="28"/>
          <w:szCs w:val="28"/>
        </w:rPr>
        <w:t>。</w:t>
      </w:r>
      <w:r>
        <w:rPr>
          <w:rFonts w:hint="eastAsia" w:ascii="仿宋_GB2312" w:hAnsi="仿宋_GB2312" w:eastAsia="仿宋_GB2312" w:cs="仿宋_GB2312"/>
          <w:snapToGrid w:val="0"/>
          <w:color w:val="000000" w:themeColor="text1"/>
          <w:spacing w:val="0"/>
          <w:kern w:val="0"/>
          <w:sz w:val="28"/>
          <w:szCs w:val="28"/>
          <w14:textFill>
            <w14:solidFill>
              <w14:schemeClr w14:val="tx1"/>
            </w14:solidFill>
          </w14:textFill>
        </w:rPr>
        <w:t>完</w:t>
      </w:r>
      <w:r>
        <w:rPr>
          <w:rFonts w:hint="eastAsia" w:ascii="仿宋_GB2312" w:hAnsi="仿宋_GB2312" w:eastAsia="仿宋_GB2312" w:cs="仿宋_GB2312"/>
          <w:snapToGrid w:val="0"/>
          <w:color w:val="000000" w:themeColor="text1"/>
          <w:spacing w:val="0"/>
          <w:kern w:val="0"/>
          <w:sz w:val="28"/>
          <w:szCs w:val="28"/>
          <w:lang w:eastAsia="zh-CN"/>
          <w14:textFill>
            <w14:solidFill>
              <w14:schemeClr w14:val="tx1"/>
            </w14:solidFill>
          </w14:textFill>
        </w:rPr>
        <w:t>成</w:t>
      </w:r>
      <w:r>
        <w:rPr>
          <w:rFonts w:hint="eastAsia" w:ascii="仿宋_GB2312" w:hAnsi="仿宋_GB2312" w:eastAsia="仿宋_GB2312" w:cs="仿宋_GB2312"/>
          <w:snapToGrid w:val="0"/>
          <w:color w:val="000000" w:themeColor="text1"/>
          <w:spacing w:val="0"/>
          <w:kern w:val="0"/>
          <w:sz w:val="28"/>
          <w:szCs w:val="28"/>
          <w14:textFill>
            <w14:solidFill>
              <w14:schemeClr w14:val="tx1"/>
            </w14:solidFill>
          </w14:textFill>
        </w:rPr>
        <w:t>中等职业学校标准化建设，职业院校办学条件全部达标，</w:t>
      </w:r>
      <w:r>
        <w:rPr>
          <w:rFonts w:hint="eastAsia" w:ascii="仿宋_GB2312" w:hAnsi="仿宋_GB2312" w:eastAsia="仿宋_GB2312" w:cs="仿宋_GB2312"/>
          <w:snapToGrid w:val="0"/>
          <w:color w:val="000000" w:themeColor="text1"/>
          <w:spacing w:val="0"/>
          <w:kern w:val="0"/>
          <w:sz w:val="28"/>
          <w:szCs w:val="28"/>
          <w:lang w:eastAsia="zh-CN"/>
          <w14:textFill>
            <w14:solidFill>
              <w14:schemeClr w14:val="tx1"/>
            </w14:solidFill>
          </w14:textFill>
        </w:rPr>
        <w:t>继续推进市</w:t>
      </w:r>
      <w:r>
        <w:rPr>
          <w:rFonts w:hint="eastAsia" w:ascii="仿宋_GB2312" w:hAnsi="仿宋_GB2312" w:eastAsia="仿宋_GB2312" w:cs="仿宋_GB2312"/>
          <w:snapToGrid w:val="0"/>
          <w:color w:val="000000" w:themeColor="text1"/>
          <w:spacing w:val="0"/>
          <w:kern w:val="0"/>
          <w:sz w:val="28"/>
          <w:szCs w:val="28"/>
          <w14:textFill>
            <w14:solidFill>
              <w14:schemeClr w14:val="tx1"/>
            </w14:solidFill>
          </w14:textFill>
        </w:rPr>
        <w:t>职教园区建设，重点建好4所高水平职业院校和4个骨干专业（群）。产教融合校企合作取得重大突破，重点建设5个产教融合型产业学院和具有辐射引领作用的高水平专业化产教融合实训基地，认定一批产教融合型企业和产教融合型院校。推动黄淮学院应用型本科建设。品牌示范职业院校、特色职业院校建设进一步推进，职业教育质量明显提升，服务当地经济社会发展的能力进一步增强，人民群众对职业教育的认同感进一步提高，尊重技能、崇尚技能的社会氛围基本形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snapToGrid w:val="0"/>
          <w:color w:val="000000" w:themeColor="text1"/>
          <w:spacing w:val="0"/>
          <w:kern w:val="0"/>
          <w:sz w:val="28"/>
          <w:szCs w:val="28"/>
          <w14:textFill>
            <w14:solidFill>
              <w14:schemeClr w14:val="tx1"/>
            </w14:solidFill>
          </w14:textFill>
        </w:rPr>
      </w:pPr>
      <w:r>
        <w:rPr>
          <w:rFonts w:hint="eastAsia" w:ascii="仿宋_GB2312" w:hAnsi="仿宋_GB2312" w:eastAsia="仿宋_GB2312" w:cs="仿宋_GB2312"/>
          <w:snapToGrid w:val="0"/>
          <w:color w:val="000000" w:themeColor="text1"/>
          <w:spacing w:val="0"/>
          <w:kern w:val="0"/>
          <w:sz w:val="28"/>
          <w:szCs w:val="28"/>
          <w14:textFill>
            <w14:solidFill>
              <w14:schemeClr w14:val="tx1"/>
            </w14:solidFill>
          </w14:textFill>
        </w:rPr>
        <w:t>高等教育求突破。通过筹建高等职业</w:t>
      </w:r>
      <w:r>
        <w:rPr>
          <w:rFonts w:hint="eastAsia" w:ascii="仿宋_GB2312" w:hAnsi="仿宋_GB2312" w:eastAsia="仿宋_GB2312" w:cs="仿宋_GB2312"/>
          <w:b w:val="0"/>
          <w:bCs w:val="0"/>
          <w:snapToGrid w:val="0"/>
          <w:color w:val="auto"/>
          <w:spacing w:val="0"/>
          <w:kern w:val="0"/>
          <w:sz w:val="28"/>
          <w:szCs w:val="28"/>
          <w:lang w:val="en-US" w:eastAsia="zh-CN"/>
        </w:rPr>
        <w:t>技术院校</w:t>
      </w:r>
      <w:r>
        <w:rPr>
          <w:rFonts w:hint="eastAsia" w:ascii="仿宋_GB2312" w:hAnsi="仿宋_GB2312" w:eastAsia="仿宋_GB2312" w:cs="仿宋_GB2312"/>
          <w:snapToGrid w:val="0"/>
          <w:color w:val="000000" w:themeColor="text1"/>
          <w:spacing w:val="0"/>
          <w:kern w:val="0"/>
          <w:sz w:val="28"/>
          <w:szCs w:val="28"/>
          <w14:textFill>
            <w14:solidFill>
              <w14:schemeClr w14:val="tx1"/>
            </w14:solidFill>
          </w14:textFill>
        </w:rPr>
        <w:t>、引进优质高等教育资源来我市办学、提升已有高等学校办学层次等多种有效措施，扩大高等教育规模，补齐我市高等教育发展短板，2025年，高等教育毛入学率</w:t>
      </w:r>
      <w:r>
        <w:rPr>
          <w:rFonts w:hint="eastAsia" w:ascii="仿宋_GB2312" w:hAnsi="仿宋_GB2312" w:eastAsia="仿宋_GB2312" w:cs="仿宋_GB2312"/>
          <w:snapToGrid w:val="0"/>
          <w:color w:val="000000" w:themeColor="text1"/>
          <w:spacing w:val="0"/>
          <w:kern w:val="0"/>
          <w:sz w:val="28"/>
          <w:szCs w:val="28"/>
          <w:lang w:eastAsia="zh-CN"/>
          <w14:textFill>
            <w14:solidFill>
              <w14:schemeClr w14:val="tx1"/>
            </w14:solidFill>
          </w14:textFill>
        </w:rPr>
        <w:t>、</w:t>
      </w:r>
      <w:r>
        <w:rPr>
          <w:rFonts w:hint="eastAsia" w:ascii="仿宋_GB2312" w:hAnsi="仿宋_GB2312" w:eastAsia="仿宋_GB2312" w:cs="仿宋_GB2312"/>
          <w:snapToGrid w:val="0"/>
          <w:color w:val="000000" w:themeColor="text1"/>
          <w:spacing w:val="0"/>
          <w:kern w:val="0"/>
          <w:sz w:val="28"/>
          <w:szCs w:val="28"/>
          <w14:textFill>
            <w14:solidFill>
              <w14:schemeClr w14:val="tx1"/>
            </w14:solidFill>
          </w14:textFill>
        </w:rPr>
        <w:t>普通本科在校生</w:t>
      </w:r>
      <w:r>
        <w:rPr>
          <w:rFonts w:hint="eastAsia" w:ascii="仿宋_GB2312" w:hAnsi="仿宋_GB2312" w:eastAsia="仿宋_GB2312" w:cs="仿宋_GB2312"/>
          <w:snapToGrid w:val="0"/>
          <w:color w:val="000000" w:themeColor="text1"/>
          <w:spacing w:val="0"/>
          <w:kern w:val="0"/>
          <w:sz w:val="28"/>
          <w:szCs w:val="28"/>
          <w:lang w:eastAsia="zh-CN"/>
          <w14:textFill>
            <w14:solidFill>
              <w14:schemeClr w14:val="tx1"/>
            </w14:solidFill>
          </w14:textFill>
        </w:rPr>
        <w:t>人数持续提升</w:t>
      </w:r>
      <w:r>
        <w:rPr>
          <w:rFonts w:hint="eastAsia" w:ascii="仿宋_GB2312" w:hAnsi="仿宋_GB2312" w:eastAsia="仿宋_GB2312" w:cs="仿宋_GB2312"/>
          <w:snapToGrid w:val="0"/>
          <w:color w:val="000000" w:themeColor="text1"/>
          <w:spacing w:val="0"/>
          <w:kern w:val="0"/>
          <w:sz w:val="28"/>
          <w:szCs w:val="28"/>
          <w14:textFill>
            <w14:solidFill>
              <w14:schemeClr w14:val="tx1"/>
            </w14:solidFill>
          </w14:textFill>
        </w:rPr>
        <w:t>。高等学校的内涵发展深入推进，黄淮学院示范性应用型本科大学二期建设取得明显成效。高校学科专业设置得到优化，服务驻马店经济社会发展能力明显提升。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snapToGrid w:val="0"/>
          <w:color w:val="000000" w:themeColor="text1"/>
          <w:spacing w:val="0"/>
          <w:kern w:val="0"/>
          <w:sz w:val="28"/>
          <w:szCs w:val="28"/>
          <w14:textFill>
            <w14:solidFill>
              <w14:schemeClr w14:val="tx1"/>
            </w14:solidFill>
          </w14:textFill>
        </w:rPr>
      </w:pPr>
      <w:r>
        <w:rPr>
          <w:rFonts w:hint="eastAsia" w:ascii="仿宋_GB2312" w:hAnsi="仿宋_GB2312" w:eastAsia="仿宋_GB2312" w:cs="仿宋_GB2312"/>
          <w:snapToGrid w:val="0"/>
          <w:color w:val="000000" w:themeColor="text1"/>
          <w:spacing w:val="0"/>
          <w:kern w:val="0"/>
          <w:sz w:val="28"/>
          <w:szCs w:val="28"/>
          <w14:textFill>
            <w14:solidFill>
              <w14:schemeClr w14:val="tx1"/>
            </w14:solidFill>
          </w14:textFill>
        </w:rPr>
        <w:t>改革开放有作为。教育领域综合改革不断深化，</w:t>
      </w:r>
      <w:r>
        <w:rPr>
          <w:rFonts w:hint="eastAsia" w:ascii="仿宋_GB2312" w:hAnsi="仿宋_GB2312" w:eastAsia="仿宋_GB2312" w:cs="仿宋_GB2312"/>
          <w:snapToGrid w:val="0"/>
          <w:color w:val="000000" w:themeColor="text1"/>
          <w:spacing w:val="0"/>
          <w:kern w:val="0"/>
          <w:sz w:val="28"/>
          <w:szCs w:val="28"/>
          <w:lang w:eastAsia="zh-CN"/>
          <w14:textFill>
            <w14:solidFill>
              <w14:schemeClr w14:val="tx1"/>
            </w14:solidFill>
          </w14:textFill>
        </w:rPr>
        <w:t>学</w:t>
      </w:r>
      <w:r>
        <w:rPr>
          <w:rFonts w:hint="eastAsia" w:ascii="仿宋_GB2312" w:hAnsi="仿宋_GB2312" w:eastAsia="仿宋_GB2312" w:cs="仿宋_GB2312"/>
          <w:snapToGrid w:val="0"/>
          <w:color w:val="000000" w:themeColor="text1"/>
          <w:spacing w:val="0"/>
          <w:kern w:val="0"/>
          <w:sz w:val="28"/>
          <w:szCs w:val="28"/>
          <w14:textFill>
            <w14:solidFill>
              <w14:schemeClr w14:val="tx1"/>
            </w14:solidFill>
          </w14:textFill>
        </w:rPr>
        <w:t>校内部治理机制改革、教师管理体制改革等改革项目落地见效。教育评价体系更加科学，</w:t>
      </w:r>
      <w:r>
        <w:rPr>
          <w:rFonts w:hint="eastAsia" w:ascii="仿宋_GB2312" w:hAnsi="仿宋_GB2312" w:eastAsia="仿宋_GB2312" w:cs="仿宋_GB2312"/>
          <w:snapToGrid w:val="0"/>
          <w:color w:val="000000" w:themeColor="text1"/>
          <w:spacing w:val="0"/>
          <w:kern w:val="0"/>
          <w:sz w:val="28"/>
          <w:szCs w:val="28"/>
          <w:lang w:eastAsia="zh-CN"/>
          <w14:textFill>
            <w14:solidFill>
              <w14:schemeClr w14:val="tx1"/>
            </w14:solidFill>
          </w14:textFill>
        </w:rPr>
        <w:t>义务教育“双减”政策有效落实，“五项管理”取得明显成效，</w:t>
      </w:r>
      <w:r>
        <w:rPr>
          <w:rFonts w:hint="eastAsia" w:ascii="仿宋_GB2312" w:hAnsi="仿宋_GB2312" w:eastAsia="仿宋_GB2312" w:cs="仿宋_GB2312"/>
          <w:snapToGrid w:val="0"/>
          <w:color w:val="000000" w:themeColor="text1"/>
          <w:spacing w:val="0"/>
          <w:kern w:val="0"/>
          <w:sz w:val="28"/>
          <w:szCs w:val="28"/>
          <w14:textFill>
            <w14:solidFill>
              <w14:schemeClr w14:val="tx1"/>
            </w14:solidFill>
          </w14:textFill>
        </w:rPr>
        <w:t>民办教育</w:t>
      </w:r>
      <w:r>
        <w:rPr>
          <w:rFonts w:hint="eastAsia" w:ascii="仿宋_GB2312" w:hAnsi="仿宋_GB2312" w:eastAsia="仿宋_GB2312" w:cs="仿宋_GB2312"/>
          <w:snapToGrid w:val="0"/>
          <w:color w:val="000000" w:themeColor="text1"/>
          <w:spacing w:val="0"/>
          <w:kern w:val="0"/>
          <w:sz w:val="28"/>
          <w:szCs w:val="28"/>
          <w:lang w:eastAsia="zh-CN"/>
          <w14:textFill>
            <w14:solidFill>
              <w14:schemeClr w14:val="tx1"/>
            </w14:solidFill>
          </w14:textFill>
        </w:rPr>
        <w:t>更加</w:t>
      </w:r>
      <w:r>
        <w:rPr>
          <w:rFonts w:hint="eastAsia" w:ascii="仿宋_GB2312" w:hAnsi="仿宋_GB2312" w:eastAsia="仿宋_GB2312" w:cs="仿宋_GB2312"/>
          <w:snapToGrid w:val="0"/>
          <w:color w:val="000000" w:themeColor="text1"/>
          <w:spacing w:val="0"/>
          <w:kern w:val="0"/>
          <w:sz w:val="28"/>
          <w:szCs w:val="28"/>
          <w14:textFill>
            <w14:solidFill>
              <w14:schemeClr w14:val="tx1"/>
            </w14:solidFill>
          </w14:textFill>
        </w:rPr>
        <w:t>规范。持续深化“放管服”改革，政府依法宏观管理、学校依法自主办学、社会有序参与、各方合力推进的工作格局更加完善，基本形成支撑驻马店市教育高质量发展的教育治理体系。教育信息化水平明显提高，教育经费投入优先保证。教育开放水平显著提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pPr>
      <w:r>
        <w:rPr>
          <w:rFonts w:hint="eastAsia" w:ascii="仿宋_GB2312" w:hAnsi="仿宋_GB2312" w:eastAsia="仿宋_GB2312" w:cs="仿宋_GB2312"/>
          <w:snapToGrid w:val="0"/>
          <w:color w:val="000000" w:themeColor="text1"/>
          <w:spacing w:val="0"/>
          <w:kern w:val="0"/>
          <w:sz w:val="28"/>
          <w:szCs w:val="28"/>
          <w14:textFill>
            <w14:solidFill>
              <w14:schemeClr w14:val="tx1"/>
            </w14:solidFill>
          </w14:textFill>
        </w:rPr>
        <w:t>教育公平有保障。教育资源配置更加公平有效，“入园贵”“择校热”“大班额”等人民群众关心的教育热点难点问题得到有效破解，</w:t>
      </w:r>
      <w:r>
        <w:rPr>
          <w:rFonts w:hint="eastAsia" w:ascii="仿宋_GB2312" w:hAnsi="仿宋_GB2312" w:eastAsia="仿宋_GB2312" w:cs="仿宋_GB2312"/>
          <w:snapToGrid w:val="0"/>
          <w:color w:val="000000" w:themeColor="text1"/>
          <w:spacing w:val="0"/>
          <w:kern w:val="0"/>
          <w:sz w:val="28"/>
          <w:szCs w:val="28"/>
          <w:lang w:eastAsia="zh-CN"/>
          <w14:textFill>
            <w14:solidFill>
              <w14:schemeClr w14:val="tx1"/>
            </w14:solidFill>
          </w14:textFill>
        </w:rPr>
        <w:t>进城务工人员</w:t>
      </w:r>
      <w:r>
        <w:rPr>
          <w:rFonts w:hint="eastAsia" w:ascii="仿宋_GB2312" w:hAnsi="仿宋_GB2312" w:eastAsia="仿宋_GB2312" w:cs="仿宋_GB2312"/>
          <w:snapToGrid w:val="0"/>
          <w:color w:val="000000" w:themeColor="text1"/>
          <w:spacing w:val="0"/>
          <w:kern w:val="0"/>
          <w:sz w:val="28"/>
          <w:szCs w:val="28"/>
          <w14:textFill>
            <w14:solidFill>
              <w14:schemeClr w14:val="tx1"/>
            </w14:solidFill>
          </w14:textFill>
        </w:rPr>
        <w:t>随迁子女、家庭经济困难学生、残疾儿童少年受教育机会得到更好保障，让每个孩子都能享受到公平而有质量的教育。</w:t>
      </w:r>
    </w:p>
    <w:tbl>
      <w:tblPr>
        <w:tblStyle w:val="16"/>
        <w:tblW w:w="9082" w:type="dxa"/>
        <w:jc w:val="center"/>
        <w:tblLayout w:type="fixed"/>
        <w:tblCellMar>
          <w:top w:w="0" w:type="dxa"/>
          <w:left w:w="108" w:type="dxa"/>
          <w:bottom w:w="0" w:type="dxa"/>
          <w:right w:w="108" w:type="dxa"/>
        </w:tblCellMar>
      </w:tblPr>
      <w:tblGrid>
        <w:gridCol w:w="623"/>
        <w:gridCol w:w="1933"/>
        <w:gridCol w:w="999"/>
        <w:gridCol w:w="825"/>
        <w:gridCol w:w="975"/>
        <w:gridCol w:w="876"/>
        <w:gridCol w:w="930"/>
        <w:gridCol w:w="975"/>
        <w:gridCol w:w="946"/>
      </w:tblGrid>
      <w:tr>
        <w:tblPrEx>
          <w:tblCellMar>
            <w:top w:w="0" w:type="dxa"/>
            <w:left w:w="108" w:type="dxa"/>
            <w:bottom w:w="0" w:type="dxa"/>
            <w:right w:w="108" w:type="dxa"/>
          </w:tblCellMar>
        </w:tblPrEx>
        <w:trPr>
          <w:gridAfter w:val="1"/>
          <w:wAfter w:w="946" w:type="dxa"/>
          <w:trHeight w:val="653" w:hRule="atLeast"/>
          <w:jc w:val="center"/>
        </w:trPr>
        <w:tc>
          <w:tcPr>
            <w:tcW w:w="8136" w:type="dxa"/>
            <w:gridSpan w:val="8"/>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ind w:firstLine="1204" w:firstLineChars="400"/>
              <w:jc w:val="both"/>
              <w:textAlignment w:val="auto"/>
              <w:rPr>
                <w:rFonts w:ascii="黑体" w:hAnsi="黑体" w:eastAsia="黑体" w:cs="宋体"/>
                <w:snapToGrid w:val="0"/>
                <w:spacing w:val="0"/>
                <w:kern w:val="0"/>
                <w:sz w:val="20"/>
              </w:rPr>
            </w:pPr>
            <w:r>
              <w:rPr>
                <w:rFonts w:hint="eastAsia" w:ascii="黑体" w:hAnsi="黑体" w:eastAsia="黑体" w:cs="黑体"/>
                <w:b/>
                <w:bCs/>
                <w:snapToGrid w:val="0"/>
                <w:spacing w:val="0"/>
                <w:sz w:val="30"/>
                <w:szCs w:val="30"/>
              </w:rPr>
              <w:t>驻马店市“十四五”时期教育事业发展主要目标</w:t>
            </w:r>
          </w:p>
        </w:tc>
      </w:tr>
      <w:tr>
        <w:tblPrEx>
          <w:tblCellMar>
            <w:top w:w="0" w:type="dxa"/>
            <w:left w:w="108" w:type="dxa"/>
            <w:bottom w:w="0" w:type="dxa"/>
            <w:right w:w="108" w:type="dxa"/>
          </w:tblCellMar>
        </w:tblPrEx>
        <w:trPr>
          <w:trHeight w:val="360" w:hRule="atLeast"/>
          <w:jc w:val="center"/>
        </w:trPr>
        <w:tc>
          <w:tcPr>
            <w:tcW w:w="623"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维度</w:t>
            </w:r>
          </w:p>
        </w:tc>
        <w:tc>
          <w:tcPr>
            <w:tcW w:w="1933"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指  标</w:t>
            </w:r>
          </w:p>
        </w:tc>
        <w:tc>
          <w:tcPr>
            <w:tcW w:w="2799"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2020年</w:t>
            </w:r>
          </w:p>
        </w:tc>
        <w:tc>
          <w:tcPr>
            <w:tcW w:w="2781"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2025年</w:t>
            </w:r>
          </w:p>
        </w:tc>
        <w:tc>
          <w:tcPr>
            <w:tcW w:w="946" w:type="dxa"/>
            <w:vMerge w:val="restart"/>
            <w:tcBorders>
              <w:top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color w:val="FF0000"/>
                <w:spacing w:val="0"/>
                <w:kern w:val="0"/>
                <w:sz w:val="24"/>
                <w:szCs w:val="24"/>
              </w:rPr>
            </w:pPr>
          </w:p>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sz w:val="24"/>
                <w:szCs w:val="24"/>
              </w:rPr>
            </w:pPr>
            <w:r>
              <w:rPr>
                <w:rFonts w:hint="eastAsia" w:ascii="楷体" w:hAnsi="楷体" w:eastAsia="楷体" w:cs="楷体"/>
                <w:snapToGrid w:val="0"/>
                <w:spacing w:val="0"/>
                <w:kern w:val="0"/>
                <w:sz w:val="24"/>
                <w:szCs w:val="24"/>
              </w:rPr>
              <w:t>属性</w:t>
            </w:r>
          </w:p>
        </w:tc>
      </w:tr>
      <w:tr>
        <w:tblPrEx>
          <w:tblCellMar>
            <w:top w:w="0" w:type="dxa"/>
            <w:left w:w="108" w:type="dxa"/>
            <w:bottom w:w="0" w:type="dxa"/>
            <w:right w:w="108" w:type="dxa"/>
          </w:tblCellMar>
        </w:tblPrEx>
        <w:trPr>
          <w:trHeight w:val="360" w:hRule="atLeast"/>
          <w:jc w:val="center"/>
        </w:trPr>
        <w:tc>
          <w:tcPr>
            <w:tcW w:w="62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楷体" w:hAnsi="楷体" w:eastAsia="楷体" w:cs="楷体"/>
                <w:snapToGrid w:val="0"/>
                <w:spacing w:val="0"/>
                <w:kern w:val="0"/>
                <w:sz w:val="24"/>
                <w:szCs w:val="24"/>
              </w:rPr>
            </w:pPr>
          </w:p>
        </w:tc>
        <w:tc>
          <w:tcPr>
            <w:tcW w:w="193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楷体" w:hAnsi="楷体" w:eastAsia="楷体" w:cs="楷体"/>
                <w:snapToGrid w:val="0"/>
                <w:spacing w:val="0"/>
                <w:kern w:val="0"/>
                <w:sz w:val="24"/>
                <w:szCs w:val="24"/>
              </w:rPr>
            </w:pPr>
          </w:p>
        </w:tc>
        <w:tc>
          <w:tcPr>
            <w:tcW w:w="9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全国</w:t>
            </w:r>
          </w:p>
        </w:tc>
        <w:tc>
          <w:tcPr>
            <w:tcW w:w="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河南</w:t>
            </w:r>
          </w:p>
        </w:tc>
        <w:tc>
          <w:tcPr>
            <w:tcW w:w="975" w:type="dxa"/>
            <w:tcBorders>
              <w:top w:val="nil"/>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驻马店</w:t>
            </w:r>
          </w:p>
        </w:tc>
        <w:tc>
          <w:tcPr>
            <w:tcW w:w="8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全国</w:t>
            </w:r>
          </w:p>
        </w:tc>
        <w:tc>
          <w:tcPr>
            <w:tcW w:w="9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河南</w:t>
            </w:r>
          </w:p>
        </w:tc>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驻马店</w:t>
            </w:r>
          </w:p>
        </w:tc>
        <w:tc>
          <w:tcPr>
            <w:tcW w:w="946" w:type="dxa"/>
            <w:vMerge w:val="continue"/>
            <w:tcBorders>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楷体" w:hAnsi="楷体" w:eastAsia="楷体" w:cs="楷体"/>
                <w:snapToGrid w:val="0"/>
                <w:spacing w:val="0"/>
                <w:kern w:val="0"/>
                <w:sz w:val="24"/>
                <w:szCs w:val="24"/>
              </w:rPr>
            </w:pPr>
          </w:p>
        </w:tc>
      </w:tr>
      <w:tr>
        <w:tblPrEx>
          <w:tblCellMar>
            <w:top w:w="0" w:type="dxa"/>
            <w:left w:w="108" w:type="dxa"/>
            <w:bottom w:w="0" w:type="dxa"/>
            <w:right w:w="108" w:type="dxa"/>
          </w:tblCellMar>
        </w:tblPrEx>
        <w:trPr>
          <w:trHeight w:val="360" w:hRule="atLeast"/>
          <w:jc w:val="center"/>
        </w:trPr>
        <w:tc>
          <w:tcPr>
            <w:tcW w:w="623"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教育  普及</w:t>
            </w:r>
          </w:p>
        </w:tc>
        <w:tc>
          <w:tcPr>
            <w:tcW w:w="19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学前教育毛入园率（%）</w:t>
            </w:r>
          </w:p>
        </w:tc>
        <w:tc>
          <w:tcPr>
            <w:tcW w:w="9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85.2</w:t>
            </w:r>
          </w:p>
        </w:tc>
        <w:tc>
          <w:tcPr>
            <w:tcW w:w="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90.3</w:t>
            </w:r>
          </w:p>
        </w:tc>
        <w:tc>
          <w:tcPr>
            <w:tcW w:w="97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93</w:t>
            </w:r>
          </w:p>
        </w:tc>
        <w:tc>
          <w:tcPr>
            <w:tcW w:w="8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&gt;90</w:t>
            </w:r>
          </w:p>
        </w:tc>
        <w:tc>
          <w:tcPr>
            <w:tcW w:w="9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&gt;93</w:t>
            </w:r>
          </w:p>
        </w:tc>
        <w:tc>
          <w:tcPr>
            <w:tcW w:w="9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&gt;93</w:t>
            </w:r>
          </w:p>
        </w:tc>
        <w:tc>
          <w:tcPr>
            <w:tcW w:w="946" w:type="dxa"/>
            <w:tcBorders>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right"/>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预期性</w:t>
            </w:r>
          </w:p>
        </w:tc>
      </w:tr>
      <w:tr>
        <w:tblPrEx>
          <w:tblCellMar>
            <w:top w:w="0" w:type="dxa"/>
            <w:left w:w="108" w:type="dxa"/>
            <w:bottom w:w="0" w:type="dxa"/>
            <w:right w:w="108" w:type="dxa"/>
          </w:tblCellMar>
        </w:tblPrEx>
        <w:trPr>
          <w:trHeight w:val="360" w:hRule="atLeast"/>
          <w:jc w:val="center"/>
        </w:trPr>
        <w:tc>
          <w:tcPr>
            <w:tcW w:w="62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楷体" w:hAnsi="楷体" w:eastAsia="楷体" w:cs="楷体"/>
                <w:snapToGrid w:val="0"/>
                <w:spacing w:val="0"/>
                <w:kern w:val="0"/>
                <w:sz w:val="24"/>
                <w:szCs w:val="24"/>
              </w:rPr>
            </w:pPr>
          </w:p>
        </w:tc>
        <w:tc>
          <w:tcPr>
            <w:tcW w:w="19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义务教育巩固率（%）</w:t>
            </w:r>
          </w:p>
        </w:tc>
        <w:tc>
          <w:tcPr>
            <w:tcW w:w="9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95.2</w:t>
            </w:r>
          </w:p>
        </w:tc>
        <w:tc>
          <w:tcPr>
            <w:tcW w:w="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96.0</w:t>
            </w:r>
          </w:p>
        </w:tc>
        <w:tc>
          <w:tcPr>
            <w:tcW w:w="9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96.5</w:t>
            </w:r>
          </w:p>
        </w:tc>
        <w:tc>
          <w:tcPr>
            <w:tcW w:w="8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96.0</w:t>
            </w:r>
          </w:p>
        </w:tc>
        <w:tc>
          <w:tcPr>
            <w:tcW w:w="9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lang w:val="en-US" w:eastAsia="zh-CN"/>
              </w:rPr>
            </w:pPr>
            <w:r>
              <w:rPr>
                <w:rFonts w:hint="eastAsia" w:ascii="楷体" w:hAnsi="楷体" w:eastAsia="楷体" w:cs="楷体"/>
                <w:snapToGrid w:val="0"/>
                <w:spacing w:val="0"/>
                <w:kern w:val="0"/>
                <w:sz w:val="24"/>
                <w:szCs w:val="24"/>
              </w:rPr>
              <w:t>96.</w:t>
            </w:r>
            <w:r>
              <w:rPr>
                <w:rFonts w:hint="eastAsia" w:ascii="楷体" w:hAnsi="楷体" w:eastAsia="楷体" w:cs="楷体"/>
                <w:snapToGrid w:val="0"/>
                <w:spacing w:val="0"/>
                <w:kern w:val="0"/>
                <w:sz w:val="24"/>
                <w:szCs w:val="24"/>
                <w:lang w:val="en-US" w:eastAsia="zh-CN"/>
              </w:rPr>
              <w:t>4</w:t>
            </w:r>
          </w:p>
        </w:tc>
        <w:tc>
          <w:tcPr>
            <w:tcW w:w="9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lang w:val="en-US" w:eastAsia="zh-CN"/>
              </w:rPr>
            </w:pPr>
            <w:r>
              <w:rPr>
                <w:rFonts w:hint="eastAsia" w:ascii="楷体" w:hAnsi="楷体" w:eastAsia="楷体" w:cs="楷体"/>
                <w:snapToGrid w:val="0"/>
                <w:spacing w:val="0"/>
                <w:kern w:val="0"/>
                <w:sz w:val="24"/>
                <w:szCs w:val="24"/>
              </w:rPr>
              <w:t>9</w:t>
            </w:r>
            <w:r>
              <w:rPr>
                <w:rFonts w:hint="eastAsia" w:ascii="楷体" w:hAnsi="楷体" w:eastAsia="楷体" w:cs="楷体"/>
                <w:snapToGrid w:val="0"/>
                <w:spacing w:val="0"/>
                <w:kern w:val="0"/>
                <w:sz w:val="24"/>
                <w:szCs w:val="24"/>
                <w:lang w:val="en-US" w:eastAsia="zh-CN"/>
              </w:rPr>
              <w:t>6.5</w:t>
            </w:r>
          </w:p>
        </w:tc>
        <w:tc>
          <w:tcPr>
            <w:tcW w:w="946" w:type="dxa"/>
            <w:tcBorders>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right"/>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预期性</w:t>
            </w:r>
          </w:p>
        </w:tc>
      </w:tr>
      <w:tr>
        <w:tblPrEx>
          <w:tblCellMar>
            <w:top w:w="0" w:type="dxa"/>
            <w:left w:w="108" w:type="dxa"/>
            <w:bottom w:w="0" w:type="dxa"/>
            <w:right w:w="108" w:type="dxa"/>
          </w:tblCellMar>
        </w:tblPrEx>
        <w:trPr>
          <w:trHeight w:val="360" w:hRule="atLeast"/>
          <w:jc w:val="center"/>
        </w:trPr>
        <w:tc>
          <w:tcPr>
            <w:tcW w:w="62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楷体" w:hAnsi="楷体" w:eastAsia="楷体" w:cs="楷体"/>
                <w:snapToGrid w:val="0"/>
                <w:spacing w:val="0"/>
                <w:kern w:val="0"/>
                <w:sz w:val="24"/>
                <w:szCs w:val="24"/>
              </w:rPr>
            </w:pPr>
          </w:p>
        </w:tc>
        <w:tc>
          <w:tcPr>
            <w:tcW w:w="19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高中阶段教育毛入学率（%）</w:t>
            </w:r>
          </w:p>
        </w:tc>
        <w:tc>
          <w:tcPr>
            <w:tcW w:w="9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91.2</w:t>
            </w:r>
          </w:p>
        </w:tc>
        <w:tc>
          <w:tcPr>
            <w:tcW w:w="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92.0</w:t>
            </w:r>
          </w:p>
        </w:tc>
        <w:tc>
          <w:tcPr>
            <w:tcW w:w="9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92</w:t>
            </w:r>
          </w:p>
        </w:tc>
        <w:tc>
          <w:tcPr>
            <w:tcW w:w="8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&gt;92</w:t>
            </w:r>
          </w:p>
        </w:tc>
        <w:tc>
          <w:tcPr>
            <w:tcW w:w="9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lang w:val="en-US" w:eastAsia="zh-CN"/>
              </w:rPr>
            </w:pPr>
            <w:r>
              <w:rPr>
                <w:rFonts w:hint="eastAsia" w:ascii="楷体" w:hAnsi="楷体" w:eastAsia="楷体" w:cs="楷体"/>
                <w:snapToGrid w:val="0"/>
                <w:spacing w:val="0"/>
                <w:kern w:val="0"/>
                <w:sz w:val="24"/>
                <w:szCs w:val="24"/>
              </w:rPr>
              <w:t>93.</w:t>
            </w:r>
            <w:r>
              <w:rPr>
                <w:rFonts w:hint="eastAsia" w:ascii="楷体" w:hAnsi="楷体" w:eastAsia="楷体" w:cs="楷体"/>
                <w:snapToGrid w:val="0"/>
                <w:spacing w:val="0"/>
                <w:kern w:val="0"/>
                <w:sz w:val="24"/>
                <w:szCs w:val="24"/>
                <w:lang w:val="en-US" w:eastAsia="zh-CN"/>
              </w:rPr>
              <w:t>5</w:t>
            </w:r>
          </w:p>
        </w:tc>
        <w:tc>
          <w:tcPr>
            <w:tcW w:w="9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lang w:val="en-US" w:eastAsia="zh-CN"/>
              </w:rPr>
            </w:pPr>
            <w:r>
              <w:rPr>
                <w:rFonts w:hint="eastAsia" w:ascii="楷体" w:hAnsi="楷体" w:eastAsia="楷体" w:cs="楷体"/>
                <w:snapToGrid w:val="0"/>
                <w:spacing w:val="0"/>
                <w:kern w:val="0"/>
                <w:sz w:val="24"/>
                <w:szCs w:val="24"/>
              </w:rPr>
              <w:t>9</w:t>
            </w:r>
            <w:r>
              <w:rPr>
                <w:rFonts w:hint="eastAsia" w:ascii="楷体" w:hAnsi="楷体" w:eastAsia="楷体" w:cs="楷体"/>
                <w:snapToGrid w:val="0"/>
                <w:spacing w:val="0"/>
                <w:kern w:val="0"/>
                <w:sz w:val="24"/>
                <w:szCs w:val="24"/>
                <w:lang w:val="en-US" w:eastAsia="zh-CN"/>
              </w:rPr>
              <w:t>3.5</w:t>
            </w:r>
          </w:p>
        </w:tc>
        <w:tc>
          <w:tcPr>
            <w:tcW w:w="946"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right"/>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预期性</w:t>
            </w:r>
          </w:p>
        </w:tc>
      </w:tr>
      <w:tr>
        <w:tblPrEx>
          <w:tblCellMar>
            <w:top w:w="0" w:type="dxa"/>
            <w:left w:w="108" w:type="dxa"/>
            <w:bottom w:w="0" w:type="dxa"/>
            <w:right w:w="108" w:type="dxa"/>
          </w:tblCellMar>
        </w:tblPrEx>
        <w:trPr>
          <w:trHeight w:val="360" w:hRule="atLeast"/>
          <w:jc w:val="center"/>
        </w:trPr>
        <w:tc>
          <w:tcPr>
            <w:tcW w:w="623"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 xml:space="preserve">公平  </w:t>
            </w:r>
          </w:p>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均衡</w:t>
            </w:r>
          </w:p>
        </w:tc>
        <w:tc>
          <w:tcPr>
            <w:tcW w:w="19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普惠性幼儿园覆盖率（%）</w:t>
            </w:r>
          </w:p>
        </w:tc>
        <w:tc>
          <w:tcPr>
            <w:tcW w:w="9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84.7</w:t>
            </w:r>
          </w:p>
        </w:tc>
        <w:tc>
          <w:tcPr>
            <w:tcW w:w="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73.7</w:t>
            </w:r>
          </w:p>
        </w:tc>
        <w:tc>
          <w:tcPr>
            <w:tcW w:w="9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69.6</w:t>
            </w:r>
          </w:p>
        </w:tc>
        <w:tc>
          <w:tcPr>
            <w:tcW w:w="8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lang w:eastAsia="zh-CN"/>
              </w:rPr>
              <w:t>—</w:t>
            </w:r>
          </w:p>
        </w:tc>
        <w:tc>
          <w:tcPr>
            <w:tcW w:w="9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&gt;85</w:t>
            </w:r>
          </w:p>
        </w:tc>
        <w:tc>
          <w:tcPr>
            <w:tcW w:w="9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&gt;85</w:t>
            </w:r>
          </w:p>
        </w:tc>
        <w:tc>
          <w:tcPr>
            <w:tcW w:w="946"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right"/>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约束性</w:t>
            </w:r>
          </w:p>
        </w:tc>
      </w:tr>
      <w:tr>
        <w:tblPrEx>
          <w:tblCellMar>
            <w:top w:w="0" w:type="dxa"/>
            <w:left w:w="108" w:type="dxa"/>
            <w:bottom w:w="0" w:type="dxa"/>
            <w:right w:w="108" w:type="dxa"/>
          </w:tblCellMar>
        </w:tblPrEx>
        <w:trPr>
          <w:trHeight w:val="360" w:hRule="atLeast"/>
          <w:jc w:val="center"/>
        </w:trPr>
        <w:tc>
          <w:tcPr>
            <w:tcW w:w="623"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楷体" w:hAnsi="楷体" w:eastAsia="楷体" w:cs="楷体"/>
                <w:snapToGrid w:val="0"/>
                <w:spacing w:val="0"/>
                <w:kern w:val="0"/>
                <w:sz w:val="24"/>
                <w:szCs w:val="24"/>
              </w:rPr>
            </w:pPr>
          </w:p>
        </w:tc>
        <w:tc>
          <w:tcPr>
            <w:tcW w:w="19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全国义务教育优质均衡发展县（市、区）比例（%）</w:t>
            </w:r>
          </w:p>
        </w:tc>
        <w:tc>
          <w:tcPr>
            <w:tcW w:w="9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lang w:eastAsia="zh-CN"/>
              </w:rPr>
              <w:t>—</w:t>
            </w:r>
          </w:p>
        </w:tc>
        <w:tc>
          <w:tcPr>
            <w:tcW w:w="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lang w:eastAsia="zh-CN"/>
              </w:rPr>
              <w:t>—</w:t>
            </w:r>
          </w:p>
        </w:tc>
        <w:tc>
          <w:tcPr>
            <w:tcW w:w="9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p>
        </w:tc>
        <w:tc>
          <w:tcPr>
            <w:tcW w:w="8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lang w:eastAsia="zh-CN"/>
              </w:rPr>
              <w:t>—</w:t>
            </w:r>
          </w:p>
        </w:tc>
        <w:tc>
          <w:tcPr>
            <w:tcW w:w="9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&gt;2</w:t>
            </w:r>
            <w:r>
              <w:rPr>
                <w:rFonts w:hint="eastAsia" w:ascii="楷体" w:hAnsi="楷体" w:eastAsia="楷体" w:cs="楷体"/>
                <w:snapToGrid w:val="0"/>
                <w:spacing w:val="0"/>
                <w:kern w:val="0"/>
                <w:sz w:val="24"/>
                <w:szCs w:val="24"/>
                <w:lang w:val="en-US" w:eastAsia="zh-CN"/>
              </w:rPr>
              <w:t>0</w:t>
            </w:r>
          </w:p>
        </w:tc>
        <w:tc>
          <w:tcPr>
            <w:tcW w:w="9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&gt;20</w:t>
            </w:r>
          </w:p>
        </w:tc>
        <w:tc>
          <w:tcPr>
            <w:tcW w:w="946" w:type="dxa"/>
            <w:tcBorders>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right"/>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预期性</w:t>
            </w:r>
          </w:p>
        </w:tc>
      </w:tr>
      <w:tr>
        <w:tblPrEx>
          <w:tblCellMar>
            <w:top w:w="0" w:type="dxa"/>
            <w:left w:w="108" w:type="dxa"/>
            <w:bottom w:w="0" w:type="dxa"/>
            <w:right w:w="108" w:type="dxa"/>
          </w:tblCellMar>
        </w:tblPrEx>
        <w:trPr>
          <w:trHeight w:val="360" w:hRule="atLeast"/>
          <w:jc w:val="center"/>
        </w:trPr>
        <w:tc>
          <w:tcPr>
            <w:tcW w:w="623"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 xml:space="preserve">职业  </w:t>
            </w:r>
          </w:p>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教育</w:t>
            </w:r>
          </w:p>
        </w:tc>
        <w:tc>
          <w:tcPr>
            <w:tcW w:w="19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中等职业教育在校生（万人）</w:t>
            </w:r>
          </w:p>
        </w:tc>
        <w:tc>
          <w:tcPr>
            <w:tcW w:w="9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1628</w:t>
            </w:r>
          </w:p>
        </w:tc>
        <w:tc>
          <w:tcPr>
            <w:tcW w:w="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144</w:t>
            </w:r>
          </w:p>
        </w:tc>
        <w:tc>
          <w:tcPr>
            <w:tcW w:w="9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5.99</w:t>
            </w:r>
          </w:p>
        </w:tc>
        <w:tc>
          <w:tcPr>
            <w:tcW w:w="8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1760</w:t>
            </w:r>
          </w:p>
        </w:tc>
        <w:tc>
          <w:tcPr>
            <w:tcW w:w="9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210</w:t>
            </w:r>
          </w:p>
        </w:tc>
        <w:tc>
          <w:tcPr>
            <w:tcW w:w="9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lang w:val="en-US" w:eastAsia="zh-CN"/>
              </w:rPr>
            </w:pPr>
            <w:r>
              <w:rPr>
                <w:rFonts w:hint="eastAsia" w:ascii="楷体" w:hAnsi="楷体" w:eastAsia="楷体" w:cs="楷体"/>
                <w:snapToGrid w:val="0"/>
                <w:spacing w:val="0"/>
                <w:kern w:val="0"/>
                <w:sz w:val="24"/>
                <w:szCs w:val="24"/>
                <w:lang w:val="en-US" w:eastAsia="zh-CN"/>
              </w:rPr>
              <w:t>12</w:t>
            </w:r>
          </w:p>
        </w:tc>
        <w:tc>
          <w:tcPr>
            <w:tcW w:w="946" w:type="dxa"/>
            <w:tcBorders>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right"/>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预期性</w:t>
            </w:r>
          </w:p>
        </w:tc>
      </w:tr>
      <w:tr>
        <w:tblPrEx>
          <w:tblCellMar>
            <w:top w:w="0" w:type="dxa"/>
            <w:left w:w="108" w:type="dxa"/>
            <w:bottom w:w="0" w:type="dxa"/>
            <w:right w:w="108" w:type="dxa"/>
          </w:tblCellMar>
        </w:tblPrEx>
        <w:trPr>
          <w:trHeight w:val="360" w:hRule="atLeast"/>
          <w:jc w:val="center"/>
        </w:trPr>
        <w:tc>
          <w:tcPr>
            <w:tcW w:w="62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楷体" w:hAnsi="楷体" w:eastAsia="楷体" w:cs="楷体"/>
                <w:snapToGrid w:val="0"/>
                <w:spacing w:val="0"/>
                <w:kern w:val="0"/>
                <w:sz w:val="24"/>
                <w:szCs w:val="24"/>
              </w:rPr>
            </w:pPr>
          </w:p>
        </w:tc>
        <w:tc>
          <w:tcPr>
            <w:tcW w:w="19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职业教育专科（含高专）在校生（万人）</w:t>
            </w:r>
          </w:p>
        </w:tc>
        <w:tc>
          <w:tcPr>
            <w:tcW w:w="9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1459.5</w:t>
            </w:r>
          </w:p>
        </w:tc>
        <w:tc>
          <w:tcPr>
            <w:tcW w:w="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124.2</w:t>
            </w:r>
          </w:p>
        </w:tc>
        <w:tc>
          <w:tcPr>
            <w:tcW w:w="9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1.5</w:t>
            </w:r>
          </w:p>
        </w:tc>
        <w:tc>
          <w:tcPr>
            <w:tcW w:w="8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1600</w:t>
            </w:r>
          </w:p>
        </w:tc>
        <w:tc>
          <w:tcPr>
            <w:tcW w:w="9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148</w:t>
            </w:r>
          </w:p>
        </w:tc>
        <w:tc>
          <w:tcPr>
            <w:tcW w:w="9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lang w:eastAsia="zh-CN"/>
              </w:rPr>
            </w:pPr>
            <w:r>
              <w:rPr>
                <w:rFonts w:hint="eastAsia" w:ascii="楷体" w:hAnsi="楷体" w:eastAsia="楷体" w:cs="楷体"/>
                <w:snapToGrid w:val="0"/>
                <w:spacing w:val="0"/>
                <w:kern w:val="0"/>
                <w:sz w:val="24"/>
                <w:szCs w:val="24"/>
                <w:lang w:val="en-US" w:eastAsia="zh-CN"/>
              </w:rPr>
              <w:t>4</w:t>
            </w:r>
          </w:p>
        </w:tc>
        <w:tc>
          <w:tcPr>
            <w:tcW w:w="946" w:type="dxa"/>
            <w:tcBorders>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right"/>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预期性</w:t>
            </w:r>
          </w:p>
        </w:tc>
      </w:tr>
      <w:tr>
        <w:tblPrEx>
          <w:tblCellMar>
            <w:top w:w="0" w:type="dxa"/>
            <w:left w:w="108" w:type="dxa"/>
            <w:bottom w:w="0" w:type="dxa"/>
            <w:right w:w="108" w:type="dxa"/>
          </w:tblCellMar>
        </w:tblPrEx>
        <w:trPr>
          <w:trHeight w:val="360" w:hRule="atLeast"/>
          <w:jc w:val="center"/>
        </w:trPr>
        <w:tc>
          <w:tcPr>
            <w:tcW w:w="62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楷体" w:hAnsi="楷体" w:eastAsia="楷体" w:cs="楷体"/>
                <w:snapToGrid w:val="0"/>
                <w:spacing w:val="0"/>
                <w:kern w:val="0"/>
                <w:sz w:val="24"/>
                <w:szCs w:val="24"/>
              </w:rPr>
            </w:pPr>
          </w:p>
        </w:tc>
        <w:tc>
          <w:tcPr>
            <w:tcW w:w="19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现代学徒制培养比例（%）</w:t>
            </w:r>
          </w:p>
        </w:tc>
        <w:tc>
          <w:tcPr>
            <w:tcW w:w="9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1.3</w:t>
            </w:r>
          </w:p>
        </w:tc>
        <w:tc>
          <w:tcPr>
            <w:tcW w:w="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lang w:eastAsia="zh-CN"/>
              </w:rPr>
              <w:t>—</w:t>
            </w:r>
          </w:p>
        </w:tc>
        <w:tc>
          <w:tcPr>
            <w:tcW w:w="9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p>
        </w:tc>
        <w:tc>
          <w:tcPr>
            <w:tcW w:w="8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10</w:t>
            </w:r>
          </w:p>
        </w:tc>
        <w:tc>
          <w:tcPr>
            <w:tcW w:w="9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&gt;</w:t>
            </w:r>
            <w:r>
              <w:rPr>
                <w:rFonts w:hint="eastAsia" w:ascii="楷体" w:hAnsi="楷体" w:eastAsia="楷体" w:cs="楷体"/>
                <w:snapToGrid w:val="0"/>
                <w:spacing w:val="0"/>
                <w:kern w:val="0"/>
                <w:sz w:val="24"/>
                <w:szCs w:val="24"/>
                <w:lang w:val="en-US" w:eastAsia="zh-CN"/>
              </w:rPr>
              <w:t>10</w:t>
            </w:r>
          </w:p>
        </w:tc>
        <w:tc>
          <w:tcPr>
            <w:tcW w:w="9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&gt;10</w:t>
            </w:r>
          </w:p>
        </w:tc>
        <w:tc>
          <w:tcPr>
            <w:tcW w:w="946" w:type="dxa"/>
            <w:tcBorders>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right"/>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预期性</w:t>
            </w:r>
          </w:p>
        </w:tc>
      </w:tr>
      <w:tr>
        <w:tblPrEx>
          <w:tblCellMar>
            <w:top w:w="0" w:type="dxa"/>
            <w:left w:w="108" w:type="dxa"/>
            <w:bottom w:w="0" w:type="dxa"/>
            <w:right w:w="108" w:type="dxa"/>
          </w:tblCellMar>
        </w:tblPrEx>
        <w:trPr>
          <w:trHeight w:val="360" w:hRule="atLeast"/>
          <w:jc w:val="center"/>
        </w:trPr>
        <w:tc>
          <w:tcPr>
            <w:tcW w:w="62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楷体" w:hAnsi="楷体" w:eastAsia="楷体" w:cs="楷体"/>
                <w:snapToGrid w:val="0"/>
                <w:spacing w:val="0"/>
                <w:kern w:val="0"/>
                <w:sz w:val="24"/>
                <w:szCs w:val="24"/>
              </w:rPr>
            </w:pPr>
          </w:p>
        </w:tc>
        <w:tc>
          <w:tcPr>
            <w:tcW w:w="19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双师型教师占专业课教师的比例（%）</w:t>
            </w:r>
          </w:p>
        </w:tc>
        <w:tc>
          <w:tcPr>
            <w:tcW w:w="9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35.0</w:t>
            </w:r>
          </w:p>
        </w:tc>
        <w:tc>
          <w:tcPr>
            <w:tcW w:w="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lang w:val="en-US" w:eastAsia="zh-CN"/>
              </w:rPr>
              <w:t>33</w:t>
            </w:r>
            <w:r>
              <w:rPr>
                <w:rFonts w:hint="eastAsia" w:ascii="楷体" w:hAnsi="楷体" w:eastAsia="楷体" w:cs="楷体"/>
                <w:snapToGrid w:val="0"/>
                <w:spacing w:val="0"/>
                <w:kern w:val="0"/>
                <w:sz w:val="24"/>
                <w:szCs w:val="24"/>
              </w:rPr>
              <w:t>.2</w:t>
            </w:r>
          </w:p>
        </w:tc>
        <w:tc>
          <w:tcPr>
            <w:tcW w:w="9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26.82</w:t>
            </w:r>
          </w:p>
        </w:tc>
        <w:tc>
          <w:tcPr>
            <w:tcW w:w="8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60</w:t>
            </w:r>
          </w:p>
        </w:tc>
        <w:tc>
          <w:tcPr>
            <w:tcW w:w="9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lang w:val="en-US" w:eastAsia="zh-CN"/>
              </w:rPr>
              <w:t>6</w:t>
            </w:r>
            <w:r>
              <w:rPr>
                <w:rFonts w:hint="eastAsia" w:ascii="楷体" w:hAnsi="楷体" w:eastAsia="楷体" w:cs="楷体"/>
                <w:snapToGrid w:val="0"/>
                <w:spacing w:val="0"/>
                <w:kern w:val="0"/>
                <w:sz w:val="24"/>
                <w:szCs w:val="24"/>
              </w:rPr>
              <w:t>0</w:t>
            </w:r>
          </w:p>
        </w:tc>
        <w:tc>
          <w:tcPr>
            <w:tcW w:w="9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lang w:val="en-US" w:eastAsia="zh-CN"/>
              </w:rPr>
              <w:t>6</w:t>
            </w:r>
            <w:r>
              <w:rPr>
                <w:rFonts w:hint="eastAsia" w:ascii="楷体" w:hAnsi="楷体" w:eastAsia="楷体" w:cs="楷体"/>
                <w:snapToGrid w:val="0"/>
                <w:spacing w:val="0"/>
                <w:kern w:val="0"/>
                <w:sz w:val="24"/>
                <w:szCs w:val="24"/>
              </w:rPr>
              <w:t>0</w:t>
            </w:r>
          </w:p>
        </w:tc>
        <w:tc>
          <w:tcPr>
            <w:tcW w:w="946"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right"/>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预期性</w:t>
            </w:r>
          </w:p>
        </w:tc>
      </w:tr>
      <w:tr>
        <w:tblPrEx>
          <w:tblCellMar>
            <w:top w:w="0" w:type="dxa"/>
            <w:left w:w="108" w:type="dxa"/>
            <w:bottom w:w="0" w:type="dxa"/>
            <w:right w:w="108" w:type="dxa"/>
          </w:tblCellMar>
        </w:tblPrEx>
        <w:trPr>
          <w:trHeight w:val="360" w:hRule="atLeast"/>
          <w:jc w:val="center"/>
        </w:trPr>
        <w:tc>
          <w:tcPr>
            <w:tcW w:w="623"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 xml:space="preserve">普通  </w:t>
            </w:r>
          </w:p>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教育</w:t>
            </w:r>
          </w:p>
        </w:tc>
        <w:tc>
          <w:tcPr>
            <w:tcW w:w="19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普通高中在校生（万人）</w:t>
            </w:r>
          </w:p>
        </w:tc>
        <w:tc>
          <w:tcPr>
            <w:tcW w:w="9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2500</w:t>
            </w:r>
          </w:p>
        </w:tc>
        <w:tc>
          <w:tcPr>
            <w:tcW w:w="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225</w:t>
            </w:r>
          </w:p>
        </w:tc>
        <w:tc>
          <w:tcPr>
            <w:tcW w:w="9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17.2</w:t>
            </w:r>
          </w:p>
        </w:tc>
        <w:tc>
          <w:tcPr>
            <w:tcW w:w="8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2640</w:t>
            </w:r>
          </w:p>
        </w:tc>
        <w:tc>
          <w:tcPr>
            <w:tcW w:w="9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270</w:t>
            </w:r>
          </w:p>
        </w:tc>
        <w:tc>
          <w:tcPr>
            <w:tcW w:w="9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lang w:val="en-US" w:eastAsia="zh-CN"/>
              </w:rPr>
            </w:pPr>
            <w:r>
              <w:rPr>
                <w:rFonts w:hint="eastAsia" w:ascii="楷体" w:hAnsi="楷体" w:eastAsia="楷体" w:cs="楷体"/>
                <w:snapToGrid w:val="0"/>
                <w:spacing w:val="0"/>
                <w:kern w:val="0"/>
                <w:sz w:val="24"/>
                <w:szCs w:val="24"/>
                <w:lang w:val="en-US" w:eastAsia="zh-CN"/>
              </w:rPr>
              <w:t>18</w:t>
            </w:r>
          </w:p>
        </w:tc>
        <w:tc>
          <w:tcPr>
            <w:tcW w:w="946" w:type="dxa"/>
            <w:tcBorders>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right"/>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预期性</w:t>
            </w:r>
          </w:p>
        </w:tc>
      </w:tr>
      <w:tr>
        <w:tblPrEx>
          <w:tblCellMar>
            <w:top w:w="0" w:type="dxa"/>
            <w:left w:w="108" w:type="dxa"/>
            <w:bottom w:w="0" w:type="dxa"/>
            <w:right w:w="108" w:type="dxa"/>
          </w:tblCellMar>
        </w:tblPrEx>
        <w:trPr>
          <w:trHeight w:val="360" w:hRule="atLeast"/>
          <w:jc w:val="center"/>
        </w:trPr>
        <w:tc>
          <w:tcPr>
            <w:tcW w:w="62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楷体" w:hAnsi="楷体" w:eastAsia="楷体" w:cs="楷体"/>
                <w:snapToGrid w:val="0"/>
                <w:spacing w:val="0"/>
                <w:kern w:val="0"/>
                <w:sz w:val="24"/>
                <w:szCs w:val="24"/>
              </w:rPr>
            </w:pPr>
          </w:p>
        </w:tc>
        <w:tc>
          <w:tcPr>
            <w:tcW w:w="19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普通本科在校生（万人）</w:t>
            </w:r>
          </w:p>
        </w:tc>
        <w:tc>
          <w:tcPr>
            <w:tcW w:w="9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1818.4</w:t>
            </w:r>
          </w:p>
        </w:tc>
        <w:tc>
          <w:tcPr>
            <w:tcW w:w="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125.1</w:t>
            </w:r>
          </w:p>
        </w:tc>
        <w:tc>
          <w:tcPr>
            <w:tcW w:w="9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1.81</w:t>
            </w:r>
          </w:p>
        </w:tc>
        <w:tc>
          <w:tcPr>
            <w:tcW w:w="8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1950</w:t>
            </w:r>
          </w:p>
        </w:tc>
        <w:tc>
          <w:tcPr>
            <w:tcW w:w="9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140</w:t>
            </w:r>
          </w:p>
        </w:tc>
        <w:tc>
          <w:tcPr>
            <w:tcW w:w="9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2</w:t>
            </w:r>
          </w:p>
        </w:tc>
        <w:tc>
          <w:tcPr>
            <w:tcW w:w="946" w:type="dxa"/>
            <w:tcBorders>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right"/>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预期性</w:t>
            </w:r>
          </w:p>
        </w:tc>
      </w:tr>
      <w:tr>
        <w:tblPrEx>
          <w:tblCellMar>
            <w:top w:w="0" w:type="dxa"/>
            <w:left w:w="108" w:type="dxa"/>
            <w:bottom w:w="0" w:type="dxa"/>
            <w:right w:w="108" w:type="dxa"/>
          </w:tblCellMar>
        </w:tblPrEx>
        <w:trPr>
          <w:trHeight w:val="360" w:hRule="atLeast"/>
          <w:jc w:val="center"/>
        </w:trPr>
        <w:tc>
          <w:tcPr>
            <w:tcW w:w="623"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人力资源开发</w:t>
            </w:r>
          </w:p>
        </w:tc>
        <w:tc>
          <w:tcPr>
            <w:tcW w:w="19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每十万人口高等教育平均在校生数（人）</w:t>
            </w:r>
          </w:p>
        </w:tc>
        <w:tc>
          <w:tcPr>
            <w:tcW w:w="9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3126</w:t>
            </w:r>
          </w:p>
        </w:tc>
        <w:tc>
          <w:tcPr>
            <w:tcW w:w="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2719</w:t>
            </w:r>
          </w:p>
        </w:tc>
        <w:tc>
          <w:tcPr>
            <w:tcW w:w="9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color w:val="auto"/>
                <w:spacing w:val="0"/>
                <w:kern w:val="0"/>
                <w:sz w:val="24"/>
                <w:szCs w:val="24"/>
                <w:lang w:val="en-US" w:eastAsia="zh-CN"/>
              </w:rPr>
            </w:pPr>
            <w:r>
              <w:rPr>
                <w:rFonts w:hint="eastAsia" w:ascii="楷体" w:hAnsi="楷体" w:eastAsia="楷体" w:cs="楷体"/>
                <w:snapToGrid w:val="0"/>
                <w:color w:val="auto"/>
                <w:spacing w:val="0"/>
                <w:kern w:val="0"/>
                <w:sz w:val="24"/>
                <w:szCs w:val="24"/>
                <w:lang w:val="en-US" w:eastAsia="zh-CN"/>
              </w:rPr>
              <w:t>426</w:t>
            </w:r>
          </w:p>
        </w:tc>
        <w:tc>
          <w:tcPr>
            <w:tcW w:w="8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color w:val="auto"/>
                <w:spacing w:val="0"/>
                <w:kern w:val="0"/>
                <w:sz w:val="24"/>
                <w:szCs w:val="24"/>
              </w:rPr>
            </w:pPr>
            <w:r>
              <w:rPr>
                <w:rFonts w:hint="eastAsia" w:ascii="楷体" w:hAnsi="楷体" w:eastAsia="楷体" w:cs="楷体"/>
                <w:snapToGrid w:val="0"/>
                <w:color w:val="auto"/>
                <w:spacing w:val="0"/>
                <w:kern w:val="0"/>
                <w:sz w:val="24"/>
                <w:szCs w:val="24"/>
                <w:lang w:eastAsia="zh-CN"/>
              </w:rPr>
              <w:t>—</w:t>
            </w:r>
          </w:p>
        </w:tc>
        <w:tc>
          <w:tcPr>
            <w:tcW w:w="9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color w:val="auto"/>
                <w:spacing w:val="0"/>
                <w:kern w:val="0"/>
                <w:sz w:val="24"/>
                <w:szCs w:val="24"/>
              </w:rPr>
            </w:pPr>
            <w:r>
              <w:rPr>
                <w:rFonts w:hint="eastAsia" w:ascii="楷体" w:hAnsi="楷体" w:eastAsia="楷体" w:cs="楷体"/>
                <w:snapToGrid w:val="0"/>
                <w:color w:val="auto"/>
                <w:spacing w:val="0"/>
                <w:kern w:val="0"/>
                <w:sz w:val="24"/>
                <w:szCs w:val="24"/>
              </w:rPr>
              <w:t>3200</w:t>
            </w:r>
          </w:p>
        </w:tc>
        <w:tc>
          <w:tcPr>
            <w:tcW w:w="9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color w:val="auto"/>
                <w:spacing w:val="0"/>
                <w:kern w:val="0"/>
                <w:sz w:val="24"/>
                <w:szCs w:val="24"/>
              </w:rPr>
            </w:pPr>
            <w:r>
              <w:rPr>
                <w:rFonts w:hint="eastAsia" w:ascii="楷体" w:hAnsi="楷体" w:eastAsia="楷体" w:cs="楷体"/>
                <w:snapToGrid w:val="0"/>
                <w:color w:val="auto"/>
                <w:spacing w:val="0"/>
                <w:kern w:val="0"/>
                <w:sz w:val="24"/>
                <w:szCs w:val="24"/>
                <w:lang w:val="en-US" w:eastAsia="zh-CN"/>
              </w:rPr>
              <w:t>95</w:t>
            </w:r>
            <w:r>
              <w:rPr>
                <w:rFonts w:hint="eastAsia" w:ascii="楷体" w:hAnsi="楷体" w:eastAsia="楷体" w:cs="楷体"/>
                <w:snapToGrid w:val="0"/>
                <w:color w:val="auto"/>
                <w:spacing w:val="0"/>
                <w:kern w:val="0"/>
                <w:sz w:val="24"/>
                <w:szCs w:val="24"/>
              </w:rPr>
              <w:t>0</w:t>
            </w:r>
          </w:p>
        </w:tc>
        <w:tc>
          <w:tcPr>
            <w:tcW w:w="946"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right"/>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预期性</w:t>
            </w:r>
          </w:p>
        </w:tc>
      </w:tr>
      <w:tr>
        <w:tblPrEx>
          <w:tblCellMar>
            <w:top w:w="0" w:type="dxa"/>
            <w:left w:w="108" w:type="dxa"/>
            <w:bottom w:w="0" w:type="dxa"/>
            <w:right w:w="108" w:type="dxa"/>
          </w:tblCellMar>
        </w:tblPrEx>
        <w:trPr>
          <w:trHeight w:val="90" w:hRule="atLeast"/>
          <w:jc w:val="center"/>
        </w:trPr>
        <w:tc>
          <w:tcPr>
            <w:tcW w:w="62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楷体" w:hAnsi="楷体" w:eastAsia="楷体" w:cs="楷体"/>
                <w:snapToGrid w:val="0"/>
                <w:spacing w:val="0"/>
                <w:kern w:val="0"/>
                <w:sz w:val="24"/>
                <w:szCs w:val="24"/>
              </w:rPr>
            </w:pPr>
          </w:p>
        </w:tc>
        <w:tc>
          <w:tcPr>
            <w:tcW w:w="19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color w:val="auto"/>
                <w:spacing w:val="0"/>
                <w:kern w:val="0"/>
                <w:sz w:val="24"/>
                <w:szCs w:val="24"/>
              </w:rPr>
              <w:t>劳动年龄人口平均受教育年限（年）</w:t>
            </w:r>
          </w:p>
        </w:tc>
        <w:tc>
          <w:tcPr>
            <w:tcW w:w="9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10.8</w:t>
            </w:r>
          </w:p>
        </w:tc>
        <w:tc>
          <w:tcPr>
            <w:tcW w:w="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10.6</w:t>
            </w:r>
          </w:p>
        </w:tc>
        <w:tc>
          <w:tcPr>
            <w:tcW w:w="9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lang w:val="en-US" w:eastAsia="zh-CN"/>
              </w:rPr>
            </w:pPr>
            <w:r>
              <w:rPr>
                <w:rFonts w:hint="eastAsia" w:ascii="楷体" w:hAnsi="楷体" w:eastAsia="楷体" w:cs="楷体"/>
                <w:snapToGrid w:val="0"/>
                <w:spacing w:val="0"/>
                <w:kern w:val="0"/>
                <w:sz w:val="24"/>
                <w:szCs w:val="24"/>
                <w:lang w:val="en-US" w:eastAsia="zh-CN"/>
              </w:rPr>
              <w:t>9.95</w:t>
            </w:r>
          </w:p>
        </w:tc>
        <w:tc>
          <w:tcPr>
            <w:tcW w:w="8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11.3</w:t>
            </w:r>
          </w:p>
        </w:tc>
        <w:tc>
          <w:tcPr>
            <w:tcW w:w="9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11.3</w:t>
            </w:r>
          </w:p>
        </w:tc>
        <w:tc>
          <w:tcPr>
            <w:tcW w:w="9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11.3</w:t>
            </w:r>
          </w:p>
        </w:tc>
        <w:tc>
          <w:tcPr>
            <w:tcW w:w="946"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right"/>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预期性</w:t>
            </w:r>
          </w:p>
        </w:tc>
      </w:tr>
      <w:tr>
        <w:tblPrEx>
          <w:tblCellMar>
            <w:top w:w="0" w:type="dxa"/>
            <w:left w:w="108" w:type="dxa"/>
            <w:bottom w:w="0" w:type="dxa"/>
            <w:right w:w="108" w:type="dxa"/>
          </w:tblCellMar>
        </w:tblPrEx>
        <w:trPr>
          <w:trHeight w:val="360" w:hRule="atLeast"/>
          <w:jc w:val="center"/>
        </w:trPr>
        <w:tc>
          <w:tcPr>
            <w:tcW w:w="62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楷体" w:hAnsi="楷体" w:eastAsia="楷体" w:cs="楷体"/>
                <w:snapToGrid w:val="0"/>
                <w:spacing w:val="0"/>
                <w:kern w:val="0"/>
                <w:sz w:val="24"/>
                <w:szCs w:val="24"/>
              </w:rPr>
            </w:pPr>
          </w:p>
        </w:tc>
        <w:tc>
          <w:tcPr>
            <w:tcW w:w="19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普通话普及率（%）</w:t>
            </w:r>
          </w:p>
        </w:tc>
        <w:tc>
          <w:tcPr>
            <w:tcW w:w="9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80.7</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87.4</w:t>
            </w:r>
          </w:p>
        </w:tc>
        <w:tc>
          <w:tcPr>
            <w:tcW w:w="9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91.98</w:t>
            </w:r>
          </w:p>
        </w:tc>
        <w:tc>
          <w:tcPr>
            <w:tcW w:w="8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85.0</w:t>
            </w:r>
          </w:p>
        </w:tc>
        <w:tc>
          <w:tcPr>
            <w:tcW w:w="9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90.0</w:t>
            </w:r>
          </w:p>
        </w:tc>
        <w:tc>
          <w:tcPr>
            <w:tcW w:w="9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楷体" w:hAnsi="楷体" w:eastAsia="楷体" w:cs="楷体"/>
                <w:snapToGrid w:val="0"/>
                <w:spacing w:val="0"/>
                <w:kern w:val="0"/>
                <w:sz w:val="24"/>
                <w:szCs w:val="24"/>
                <w:lang w:val="en-US" w:eastAsia="zh-CN"/>
              </w:rPr>
            </w:pPr>
            <w:r>
              <w:rPr>
                <w:rFonts w:hint="eastAsia" w:ascii="楷体" w:hAnsi="楷体" w:eastAsia="楷体" w:cs="楷体"/>
                <w:snapToGrid w:val="0"/>
                <w:spacing w:val="0"/>
                <w:kern w:val="0"/>
                <w:sz w:val="24"/>
                <w:szCs w:val="24"/>
              </w:rPr>
              <w:t>9</w:t>
            </w:r>
            <w:r>
              <w:rPr>
                <w:rFonts w:hint="eastAsia" w:ascii="楷体" w:hAnsi="楷体" w:eastAsia="楷体" w:cs="楷体"/>
                <w:snapToGrid w:val="0"/>
                <w:spacing w:val="0"/>
                <w:kern w:val="0"/>
                <w:sz w:val="24"/>
                <w:szCs w:val="24"/>
                <w:lang w:val="en-US" w:eastAsia="zh-CN"/>
              </w:rPr>
              <w:t>0.0</w:t>
            </w:r>
          </w:p>
        </w:tc>
        <w:tc>
          <w:tcPr>
            <w:tcW w:w="946" w:type="dxa"/>
            <w:tcBorders>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jc w:val="right"/>
              <w:textAlignment w:val="auto"/>
              <w:rPr>
                <w:rFonts w:hint="eastAsia" w:ascii="楷体" w:hAnsi="楷体" w:eastAsia="楷体" w:cs="楷体"/>
                <w:snapToGrid w:val="0"/>
                <w:spacing w:val="0"/>
                <w:kern w:val="0"/>
                <w:sz w:val="24"/>
                <w:szCs w:val="24"/>
              </w:rPr>
            </w:pPr>
            <w:r>
              <w:rPr>
                <w:rFonts w:hint="eastAsia" w:ascii="楷体" w:hAnsi="楷体" w:eastAsia="楷体" w:cs="楷体"/>
                <w:snapToGrid w:val="0"/>
                <w:spacing w:val="0"/>
                <w:kern w:val="0"/>
                <w:sz w:val="24"/>
                <w:szCs w:val="24"/>
              </w:rPr>
              <w:t>预期性</w:t>
            </w:r>
          </w:p>
        </w:tc>
      </w:tr>
    </w:tbl>
    <w:p>
      <w:pPr>
        <w:pStyle w:val="4"/>
        <w:pageBreakBefore w:val="0"/>
        <w:widowControl w:val="0"/>
        <w:kinsoku/>
        <w:wordWrap/>
        <w:overflowPunct/>
        <w:topLinePunct w:val="0"/>
        <w:autoSpaceDE/>
        <w:autoSpaceDN/>
        <w:bidi w:val="0"/>
        <w:adjustRightInd/>
        <w:snapToGrid/>
        <w:spacing w:line="540" w:lineRule="exact"/>
        <w:ind w:firstLine="642" w:firstLineChars="200"/>
        <w:textAlignment w:val="auto"/>
        <w:rPr>
          <w:rFonts w:ascii="黑体" w:hAnsi="黑体" w:cs="黑体"/>
          <w:snapToGrid w:val="0"/>
          <w:color w:val="FF0000"/>
          <w:spacing w:val="0"/>
          <w:szCs w:val="32"/>
        </w:rPr>
      </w:pPr>
      <w:bookmarkStart w:id="41" w:name="_Toc2683"/>
      <w:bookmarkStart w:id="42" w:name="_Toc27781"/>
      <w:bookmarkStart w:id="43" w:name="_Toc16829"/>
      <w:r>
        <w:rPr>
          <w:rFonts w:hint="eastAsia" w:ascii="黑体" w:hAnsi="黑体" w:cs="黑体"/>
          <w:snapToGrid w:val="0"/>
          <w:color w:val="000000" w:themeColor="text1"/>
          <w:spacing w:val="0"/>
          <w:szCs w:val="32"/>
          <w14:textFill>
            <w14:solidFill>
              <w14:schemeClr w14:val="tx1"/>
            </w14:solidFill>
          </w14:textFill>
        </w:rPr>
        <w:t>二、全面落实立德树人根本任务</w:t>
      </w:r>
      <w:bookmarkEnd w:id="41"/>
      <w:bookmarkEnd w:id="42"/>
      <w:bookmarkEnd w:id="43"/>
    </w:p>
    <w:p>
      <w:pPr>
        <w:pageBreakBefore w:val="0"/>
        <w:kinsoku/>
        <w:wordWrap/>
        <w:overflowPunct/>
        <w:topLinePunct w:val="0"/>
        <w:autoSpaceDE/>
        <w:autoSpaceDN/>
        <w:bidi w:val="0"/>
        <w:spacing w:line="540" w:lineRule="exact"/>
        <w:ind w:firstLine="560" w:firstLineChars="200"/>
        <w:rPr>
          <w:rFonts w:ascii="仿宋_GB2312" w:hAnsi="仿宋_GB2312" w:eastAsia="仿宋_GB2312" w:cs="仿宋_GB2312"/>
          <w:snapToGrid w:val="0"/>
          <w:color w:val="auto"/>
          <w:sz w:val="28"/>
          <w:szCs w:val="28"/>
        </w:rPr>
      </w:pPr>
      <w:r>
        <w:rPr>
          <w:rFonts w:hint="eastAsia" w:ascii="仿宋_GB2312" w:hAnsi="仿宋_GB2312" w:eastAsia="仿宋_GB2312" w:cs="仿宋_GB2312"/>
          <w:snapToGrid w:val="0"/>
          <w:color w:val="auto"/>
          <w:sz w:val="28"/>
          <w:szCs w:val="28"/>
        </w:rPr>
        <w:t>坚守为党育人、为国育才使命，以树人为核心，以立德为根本，突出思想政治引领，坚持全员全过程全方位育人，培养担当民族复兴大任的时代新人。</w:t>
      </w:r>
    </w:p>
    <w:p>
      <w:pPr>
        <w:pageBreakBefore w:val="0"/>
        <w:kinsoku/>
        <w:wordWrap/>
        <w:overflowPunct/>
        <w:topLinePunct w:val="0"/>
        <w:autoSpaceDE/>
        <w:autoSpaceDN/>
        <w:bidi w:val="0"/>
        <w:spacing w:line="540" w:lineRule="exact"/>
        <w:ind w:firstLine="600" w:firstLineChars="200"/>
        <w:outlineLvl w:val="1"/>
        <w:rPr>
          <w:rFonts w:ascii="楷体" w:hAnsi="楷体" w:eastAsia="楷体" w:cs="楷体"/>
          <w:bCs/>
          <w:snapToGrid w:val="0"/>
          <w:color w:val="auto"/>
          <w:sz w:val="30"/>
          <w:szCs w:val="30"/>
        </w:rPr>
      </w:pPr>
      <w:bookmarkStart w:id="44" w:name="_Toc8837"/>
      <w:bookmarkStart w:id="45" w:name="_Toc3567"/>
      <w:r>
        <w:rPr>
          <w:rFonts w:hint="eastAsia" w:ascii="楷体" w:hAnsi="楷体" w:eastAsia="楷体" w:cs="楷体"/>
          <w:bCs/>
          <w:snapToGrid w:val="0"/>
          <w:color w:val="auto"/>
          <w:sz w:val="30"/>
          <w:szCs w:val="30"/>
        </w:rPr>
        <w:t>（一）坚持用习近平新时代中国特色社会主义思想铸魂育人</w:t>
      </w:r>
      <w:bookmarkEnd w:id="44"/>
      <w:bookmarkEnd w:id="45"/>
    </w:p>
    <w:p>
      <w:pPr>
        <w:pageBreakBefore w:val="0"/>
        <w:kinsoku/>
        <w:wordWrap/>
        <w:overflowPunct/>
        <w:topLinePunct w:val="0"/>
        <w:autoSpaceDE/>
        <w:autoSpaceDN/>
        <w:bidi w:val="0"/>
        <w:spacing w:line="540" w:lineRule="exact"/>
        <w:ind w:firstLine="560" w:firstLineChars="200"/>
        <w:rPr>
          <w:rFonts w:ascii="仿宋_GB2312" w:hAnsi="仿宋_GB2312" w:eastAsia="仿宋_GB2312" w:cs="仿宋_GB2312"/>
          <w:snapToGrid w:val="0"/>
          <w:color w:val="auto"/>
          <w:sz w:val="28"/>
          <w:szCs w:val="28"/>
        </w:rPr>
      </w:pPr>
      <w:r>
        <w:rPr>
          <w:rFonts w:hint="eastAsia" w:ascii="仿宋_GB2312" w:hAnsi="仿宋_GB2312" w:eastAsia="仿宋_GB2312" w:cs="仿宋_GB2312"/>
          <w:snapToGrid w:val="0"/>
          <w:color w:val="auto"/>
          <w:sz w:val="28"/>
          <w:szCs w:val="28"/>
        </w:rPr>
        <w:t>充分发挥思政课的育人作用。深入推进习近平新时代中国特色社会主义思想</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进教材、进</w:t>
      </w:r>
      <w:r>
        <w:rPr>
          <w:rFonts w:hint="eastAsia" w:ascii="仿宋_GB2312" w:hAnsi="仿宋_GB2312" w:eastAsia="仿宋_GB2312" w:cs="仿宋_GB2312"/>
          <w:snapToGrid w:val="0"/>
          <w:color w:val="auto"/>
          <w:spacing w:val="0"/>
          <w:sz w:val="28"/>
          <w:szCs w:val="28"/>
          <w:lang w:eastAsia="zh-CN"/>
        </w:rPr>
        <w:t>课堂</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、进头脑</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w:t>
      </w:r>
      <w:r>
        <w:rPr>
          <w:rFonts w:hint="eastAsia" w:ascii="仿宋_GB2312" w:hAnsi="仿宋_GB2312" w:eastAsia="仿宋_GB2312" w:cs="仿宋_GB2312"/>
          <w:snapToGrid w:val="0"/>
          <w:color w:val="auto"/>
          <w:sz w:val="28"/>
          <w:szCs w:val="28"/>
        </w:rPr>
        <w:t>，用好《习近平新时代中国特色社会主义思想学生读本》，引导广大学生学习把握习近平新时代中国特色社会主义思想的历史逻辑、理论逻辑和实践逻辑。推动党的创新理论全面融入学校思政课程和思想政治工作，将习近平新时代中国特色社会主义思想纳入教师培训必修课程，引导广大师生深刻理解掌握习近平新时代中国特色社会主义思想的科学体系和丰富内涵，做到学思用贯通、知信行统一。充分挖掘网上网下、课内课外蕴含的丰富教育元素，引导学生学思践悟，推进社会主义核心价值观进教材、进课堂、进头脑，推进理想信念教育常态化，充分发掘本地红色资源和历史文化资源，加强爱国主义教育。</w:t>
      </w:r>
    </w:p>
    <w:p>
      <w:pPr>
        <w:pageBreakBefore w:val="0"/>
        <w:kinsoku/>
        <w:wordWrap/>
        <w:overflowPunct/>
        <w:topLinePunct w:val="0"/>
        <w:autoSpaceDE/>
        <w:autoSpaceDN/>
        <w:bidi w:val="0"/>
        <w:spacing w:line="540" w:lineRule="exact"/>
        <w:ind w:firstLine="600" w:firstLineChars="200"/>
        <w:outlineLvl w:val="1"/>
        <w:rPr>
          <w:rFonts w:ascii="楷体" w:hAnsi="楷体" w:eastAsia="楷体" w:cs="楷体"/>
          <w:bCs/>
          <w:snapToGrid w:val="0"/>
          <w:color w:val="auto"/>
          <w:sz w:val="30"/>
          <w:szCs w:val="30"/>
        </w:rPr>
      </w:pPr>
      <w:bookmarkStart w:id="46" w:name="_Toc29959"/>
      <w:bookmarkStart w:id="47" w:name="_Toc24606"/>
      <w:r>
        <w:rPr>
          <w:rFonts w:hint="eastAsia" w:ascii="楷体" w:hAnsi="楷体" w:eastAsia="楷体" w:cs="楷体"/>
          <w:bCs/>
          <w:snapToGrid w:val="0"/>
          <w:color w:val="auto"/>
          <w:sz w:val="30"/>
          <w:szCs w:val="30"/>
        </w:rPr>
        <w:t>（二）构建一体化学校德育和思想政治工作新格局</w:t>
      </w:r>
      <w:bookmarkEnd w:id="46"/>
      <w:bookmarkEnd w:id="47"/>
    </w:p>
    <w:p>
      <w:pPr>
        <w:pageBreakBefore w:val="0"/>
        <w:kinsoku/>
        <w:wordWrap/>
        <w:overflowPunct/>
        <w:topLinePunct w:val="0"/>
        <w:autoSpaceDE/>
        <w:autoSpaceDN/>
        <w:bidi w:val="0"/>
        <w:spacing w:line="540" w:lineRule="exact"/>
        <w:ind w:firstLine="560" w:firstLineChars="200"/>
        <w:rPr>
          <w:rFonts w:ascii="仿宋_GB2312" w:hAnsi="仿宋_GB2312" w:eastAsia="仿宋_GB2312" w:cs="仿宋_GB2312"/>
          <w:snapToGrid w:val="0"/>
          <w:color w:val="auto"/>
          <w:sz w:val="28"/>
          <w:szCs w:val="28"/>
        </w:rPr>
      </w:pPr>
      <w:r>
        <w:rPr>
          <w:rFonts w:hint="eastAsia" w:ascii="仿宋_GB2312" w:hAnsi="仿宋_GB2312" w:eastAsia="仿宋_GB2312" w:cs="仿宋_GB2312"/>
          <w:snapToGrid w:val="0"/>
          <w:color w:val="auto"/>
          <w:sz w:val="28"/>
          <w:szCs w:val="28"/>
        </w:rPr>
        <w:t>扎实推进驻马店市新时代大中小</w:t>
      </w:r>
      <w:r>
        <w:rPr>
          <w:rFonts w:hint="eastAsia" w:ascii="仿宋_GB2312" w:hAnsi="仿宋_GB2312" w:eastAsia="仿宋_GB2312" w:cs="仿宋_GB2312"/>
          <w:snapToGrid w:val="0"/>
          <w:color w:val="auto"/>
          <w:sz w:val="28"/>
          <w:szCs w:val="28"/>
          <w:lang w:eastAsia="zh-CN"/>
        </w:rPr>
        <w:t>学</w:t>
      </w:r>
      <w:r>
        <w:rPr>
          <w:rFonts w:hint="eastAsia" w:ascii="仿宋_GB2312" w:hAnsi="仿宋_GB2312" w:eastAsia="仿宋_GB2312" w:cs="仿宋_GB2312"/>
          <w:snapToGrid w:val="0"/>
          <w:color w:val="auto"/>
          <w:sz w:val="28"/>
          <w:szCs w:val="28"/>
        </w:rPr>
        <w:t>思政课“一体化”教育改革创新，成立驻马店市大中小学思政课一体化建设联盟协调指导委员会，构建大中小一体化思政工作体系和“大思政”育人工作格局。把加强和改进思政课建设作为党的建设和意识形态工作的标志性工程摆上重要议程，纳入各级党委领导班子考核和政治巡察。把立德树人成效作为检验学校一切工作的根本标准，铸造立德树人驻马店品牌。</w:t>
      </w:r>
    </w:p>
    <w:p>
      <w:pPr>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hAnsi="仿宋_GB2312" w:eastAsia="仿宋_GB2312" w:cs="仿宋_GB2312"/>
          <w:snapToGrid w:val="0"/>
          <w:spacing w:val="0"/>
          <w:sz w:val="28"/>
          <w:szCs w:val="28"/>
        </w:rPr>
      </w:pPr>
      <w:r>
        <w:rPr>
          <w:rFonts w:hint="eastAsia" w:ascii="仿宋_GB2312" w:hAnsi="仿宋_GB2312" w:eastAsia="仿宋_GB2312" w:cs="仿宋_GB2312"/>
          <w:snapToGrid w:val="0"/>
          <w:spacing w:val="0"/>
          <w:sz w:val="28"/>
          <w:szCs w:val="28"/>
        </w:rPr>
        <w:t>建立健全学校德育工作贯彻落实机制。推动</w:t>
      </w:r>
      <w:r>
        <w:rPr>
          <w:rFonts w:hint="default" w:ascii="仿宋_GB2312" w:hAnsi="仿宋_GB2312" w:eastAsia="仿宋_GB2312" w:cs="仿宋_GB2312"/>
          <w:snapToGrid w:val="0"/>
          <w:spacing w:val="0"/>
          <w:sz w:val="28"/>
          <w:szCs w:val="28"/>
          <w:lang w:val="en"/>
        </w:rPr>
        <w:t>各县区</w:t>
      </w:r>
      <w:r>
        <w:rPr>
          <w:rFonts w:hint="eastAsia" w:ascii="仿宋_GB2312" w:hAnsi="仿宋_GB2312" w:eastAsia="仿宋_GB2312" w:cs="仿宋_GB2312"/>
          <w:snapToGrid w:val="0"/>
          <w:spacing w:val="0"/>
          <w:sz w:val="28"/>
          <w:szCs w:val="28"/>
        </w:rPr>
        <w:t>“一校一案”落实《中小学德育工作指南》，引导学生养成良好思想道德、心理素质和行为习惯。在中小学深入开展“学习新思想，做好接班人”“开学第一课”等主题鲜明、内容丰富、形式多样、仪式感强的教育活动。</w:t>
      </w:r>
      <w:r>
        <w:rPr>
          <w:rFonts w:hint="eastAsia" w:ascii="仿宋_GB2312" w:hAnsi="仿宋_GB2312" w:eastAsia="仿宋_GB2312" w:cs="仿宋_GB2312"/>
          <w:snapToGrid w:val="0"/>
          <w:spacing w:val="0"/>
          <w:sz w:val="28"/>
          <w:szCs w:val="28"/>
          <w:lang w:eastAsia="zh-CN"/>
        </w:rPr>
        <w:t>以</w:t>
      </w:r>
      <w:r>
        <w:rPr>
          <w:rFonts w:hint="eastAsia" w:ascii="仿宋_GB2312" w:hAnsi="仿宋_GB2312" w:eastAsia="仿宋_GB2312" w:cs="仿宋_GB2312"/>
          <w:snapToGrid w:val="0"/>
          <w:spacing w:val="0"/>
          <w:sz w:val="28"/>
          <w:szCs w:val="28"/>
        </w:rPr>
        <w:t>德育工作</w:t>
      </w:r>
      <w:r>
        <w:rPr>
          <w:rFonts w:hint="eastAsia" w:ascii="仿宋_GB2312" w:hAnsi="仿宋_GB2312" w:eastAsia="仿宋_GB2312" w:cs="仿宋_GB2312"/>
          <w:snapToGrid w:val="0"/>
          <w:spacing w:val="0"/>
          <w:sz w:val="28"/>
          <w:szCs w:val="28"/>
          <w:lang w:eastAsia="zh-CN"/>
        </w:rPr>
        <w:t>为</w:t>
      </w:r>
      <w:r>
        <w:rPr>
          <w:rFonts w:hint="eastAsia" w:ascii="仿宋_GB2312" w:hAnsi="仿宋_GB2312" w:eastAsia="仿宋_GB2312" w:cs="仿宋_GB2312"/>
          <w:snapToGrid w:val="0"/>
          <w:spacing w:val="0"/>
          <w:sz w:val="28"/>
          <w:szCs w:val="28"/>
        </w:rPr>
        <w:t>抓手，每年</w:t>
      </w:r>
      <w:r>
        <w:rPr>
          <w:rFonts w:hint="eastAsia" w:ascii="仿宋_GB2312" w:hAnsi="仿宋_GB2312" w:eastAsia="仿宋_GB2312" w:cs="仿宋_GB2312"/>
          <w:snapToGrid w:val="0"/>
          <w:spacing w:val="0"/>
          <w:sz w:val="28"/>
          <w:szCs w:val="28"/>
          <w:lang w:eastAsia="zh-CN"/>
        </w:rPr>
        <w:t>按照省教育厅分配名额等额</w:t>
      </w:r>
      <w:r>
        <w:rPr>
          <w:rFonts w:hint="eastAsia" w:ascii="仿宋_GB2312" w:hAnsi="仿宋_GB2312" w:eastAsia="仿宋_GB2312" w:cs="仿宋_GB2312"/>
          <w:snapToGrid w:val="0"/>
          <w:spacing w:val="0"/>
          <w:sz w:val="28"/>
          <w:szCs w:val="28"/>
        </w:rPr>
        <w:t>推荐省级中小学德育工作先进集体、先进个人</w:t>
      </w:r>
      <w:r>
        <w:rPr>
          <w:rFonts w:hint="eastAsia" w:ascii="仿宋_GB2312" w:hAnsi="仿宋_GB2312" w:eastAsia="仿宋_GB2312" w:cs="仿宋_GB2312"/>
          <w:snapToGrid w:val="0"/>
          <w:spacing w:val="0"/>
          <w:sz w:val="28"/>
          <w:szCs w:val="28"/>
          <w:lang w:eastAsia="zh-CN"/>
        </w:rPr>
        <w:t>、</w:t>
      </w:r>
      <w:r>
        <w:rPr>
          <w:rFonts w:hint="eastAsia" w:ascii="仿宋_GB2312" w:hAnsi="仿宋_GB2312" w:eastAsia="仿宋_GB2312" w:cs="仿宋_GB2312"/>
          <w:snapToGrid w:val="0"/>
          <w:spacing w:val="0"/>
          <w:sz w:val="28"/>
          <w:szCs w:val="28"/>
        </w:rPr>
        <w:t>名班主任工作室主持人、优秀班主任；每年评选市级中小学德育工作先进集体</w:t>
      </w:r>
      <w:r>
        <w:rPr>
          <w:rFonts w:hint="eastAsia" w:ascii="仿宋_GB2312" w:hAnsi="仿宋_GB2312" w:eastAsia="仿宋_GB2312" w:cs="仿宋_GB2312"/>
          <w:snapToGrid w:val="0"/>
          <w:spacing w:val="0"/>
          <w:sz w:val="28"/>
          <w:szCs w:val="28"/>
          <w:lang w:val="en-US" w:eastAsia="zh-CN"/>
        </w:rPr>
        <w:t>5</w:t>
      </w:r>
      <w:r>
        <w:rPr>
          <w:rFonts w:hint="eastAsia" w:ascii="仿宋_GB2312" w:hAnsi="仿宋_GB2312" w:eastAsia="仿宋_GB2312" w:cs="仿宋_GB2312"/>
          <w:snapToGrid w:val="0"/>
          <w:spacing w:val="0"/>
          <w:sz w:val="28"/>
          <w:szCs w:val="28"/>
        </w:rPr>
        <w:t>0个、先进个人100名，名班主任工作室主持人</w:t>
      </w:r>
      <w:r>
        <w:rPr>
          <w:rFonts w:hint="eastAsia" w:ascii="仿宋_GB2312" w:hAnsi="仿宋_GB2312" w:eastAsia="仿宋_GB2312" w:cs="仿宋_GB2312"/>
          <w:snapToGrid w:val="0"/>
          <w:spacing w:val="0"/>
          <w:sz w:val="28"/>
          <w:szCs w:val="28"/>
          <w:lang w:val="en-US" w:eastAsia="zh-CN"/>
        </w:rPr>
        <w:t>2</w:t>
      </w:r>
      <w:r>
        <w:rPr>
          <w:rFonts w:hint="eastAsia" w:ascii="仿宋_GB2312" w:hAnsi="仿宋_GB2312" w:eastAsia="仿宋_GB2312" w:cs="仿宋_GB2312"/>
          <w:snapToGrid w:val="0"/>
          <w:spacing w:val="0"/>
          <w:sz w:val="28"/>
          <w:szCs w:val="28"/>
        </w:rPr>
        <w:t>0名、优秀班主任1</w:t>
      </w:r>
      <w:r>
        <w:rPr>
          <w:rFonts w:hint="eastAsia" w:ascii="仿宋_GB2312" w:hAnsi="仿宋_GB2312" w:eastAsia="仿宋_GB2312" w:cs="仿宋_GB2312"/>
          <w:snapToGrid w:val="0"/>
          <w:spacing w:val="0"/>
          <w:sz w:val="28"/>
          <w:szCs w:val="28"/>
          <w:lang w:val="en-US" w:eastAsia="zh-CN"/>
        </w:rPr>
        <w:t>2</w:t>
      </w:r>
      <w:r>
        <w:rPr>
          <w:rFonts w:hint="eastAsia" w:ascii="仿宋_GB2312" w:hAnsi="仿宋_GB2312" w:eastAsia="仿宋_GB2312" w:cs="仿宋_GB2312"/>
          <w:snapToGrid w:val="0"/>
          <w:spacing w:val="0"/>
          <w:sz w:val="28"/>
          <w:szCs w:val="28"/>
        </w:rPr>
        <w:t>0名。遴选一批中小学德育工作优秀案例、学科德育精品课程、河南省中小学社会实践教育基地。</w:t>
      </w:r>
    </w:p>
    <w:p>
      <w:pPr>
        <w:pageBreakBefore w:val="0"/>
        <w:kinsoku/>
        <w:wordWrap/>
        <w:overflowPunct/>
        <w:topLinePunct w:val="0"/>
        <w:autoSpaceDE/>
        <w:autoSpaceDN/>
        <w:bidi w:val="0"/>
        <w:spacing w:line="540" w:lineRule="exact"/>
        <w:ind w:firstLine="560" w:firstLineChars="200"/>
        <w:rPr>
          <w:rFonts w:ascii="仿宋_GB2312" w:hAnsi="仿宋_GB2312" w:eastAsia="仿宋_GB2312" w:cs="仿宋_GB2312"/>
          <w:snapToGrid w:val="0"/>
          <w:color w:val="auto"/>
          <w:sz w:val="28"/>
          <w:szCs w:val="28"/>
        </w:rPr>
      </w:pPr>
      <w:bookmarkStart w:id="48" w:name="_Toc6904"/>
      <w:bookmarkStart w:id="49" w:name="_Toc13852"/>
      <w:r>
        <w:rPr>
          <w:rFonts w:ascii="仿宋_GB2312" w:hAnsi="仿宋_GB2312" w:eastAsia="仿宋_GB2312" w:cs="仿宋_GB2312"/>
          <w:snapToGrid w:val="0"/>
          <w:color w:val="auto"/>
          <w:sz w:val="28"/>
          <w:szCs w:val="28"/>
        </w:rPr>
        <w:t>健全学校、家庭、社会协同育人新机制</w:t>
      </w:r>
      <w:r>
        <w:rPr>
          <w:rFonts w:hint="eastAsia" w:ascii="仿宋_GB2312" w:hAnsi="仿宋_GB2312" w:eastAsia="仿宋_GB2312" w:cs="仿宋_GB2312"/>
          <w:snapToGrid w:val="0"/>
          <w:color w:val="auto"/>
          <w:sz w:val="28"/>
          <w:szCs w:val="28"/>
        </w:rPr>
        <w:t>，发挥思政工作铸魂育人的重要作用。丰富育人载体，开展好开学第一课、学习新思想、少年传承中华传统美德、圆梦蒲公英、寻找最美孝心少年等主题教育活动。加强网络环境下的德育工作，采取多种形式引导学生全面理解、正确对待重大理论和社会热点问题，增强辨别能力。</w:t>
      </w:r>
    </w:p>
    <w:p>
      <w:pPr>
        <w:pageBreakBefore w:val="0"/>
        <w:widowControl w:val="0"/>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snapToGrid w:val="0"/>
          <w:color w:val="auto"/>
          <w:sz w:val="28"/>
          <w:szCs w:val="28"/>
          <w:lang w:val="en-US" w:eastAsia="zh-CN"/>
        </w:rPr>
      </w:pPr>
      <w:r>
        <w:rPr>
          <w:rFonts w:hint="eastAsia" w:ascii="仿宋_GB2312" w:hAnsi="仿宋_GB2312" w:eastAsia="仿宋_GB2312" w:cs="仿宋_GB2312"/>
          <w:snapToGrid w:val="0"/>
          <w:color w:val="auto"/>
          <w:sz w:val="28"/>
          <w:szCs w:val="28"/>
        </w:rPr>
        <w:t>加强学校思政工作队伍建设。推动大中小学按照国家要求配备专职思政课教师。启动大中小学思政课教师能力提升工程，开展思政课教师全员培训，培育师德标兵、优秀班主任等先进典型。推进网络育人质量体系建设，加强对大中小学生的时政教育。完善各类学校党建带团建队建机制，构建党、团、队相衔接的思想政治教育体系。推动领导干部上讲台开展思想政治教育常态化，壮大思想政治工作力量</w:t>
      </w:r>
      <w:r>
        <w:rPr>
          <w:rFonts w:hint="eastAsia" w:ascii="仿宋_GB2312" w:hAnsi="仿宋_GB2312" w:eastAsia="仿宋_GB2312" w:cs="仿宋_GB2312"/>
          <w:snapToGrid w:val="0"/>
          <w:color w:val="auto"/>
          <w:sz w:val="28"/>
          <w:szCs w:val="28"/>
          <w:lang w:eastAsia="zh-CN"/>
        </w:rPr>
        <w:t>。</w:t>
      </w:r>
    </w:p>
    <w:p>
      <w:pPr>
        <w:pageBreakBefore w:val="0"/>
        <w:widowControl w:val="0"/>
        <w:kinsoku/>
        <w:wordWrap/>
        <w:overflowPunct/>
        <w:topLinePunct w:val="0"/>
        <w:autoSpaceDE/>
        <w:autoSpaceDN/>
        <w:bidi w:val="0"/>
        <w:adjustRightInd/>
        <w:snapToGrid/>
        <w:spacing w:line="540" w:lineRule="exact"/>
        <w:ind w:firstLine="600" w:firstLineChars="200"/>
        <w:textAlignment w:val="auto"/>
        <w:outlineLvl w:val="1"/>
        <w:rPr>
          <w:rFonts w:ascii="楷体" w:hAnsi="楷体" w:eastAsia="楷体" w:cs="楷体"/>
          <w:bCs/>
          <w:snapToGrid w:val="0"/>
          <w:spacing w:val="0"/>
          <w:sz w:val="30"/>
          <w:szCs w:val="30"/>
        </w:rPr>
      </w:pPr>
      <w:r>
        <w:rPr>
          <w:rFonts w:hint="eastAsia" w:ascii="楷体" w:hAnsi="楷体" w:eastAsia="楷体" w:cs="楷体"/>
          <w:bCs/>
          <w:snapToGrid w:val="0"/>
          <w:spacing w:val="0"/>
          <w:sz w:val="30"/>
          <w:szCs w:val="30"/>
        </w:rPr>
        <w:t>（三）促进学生综合素质全面提升</w:t>
      </w:r>
      <w:bookmarkEnd w:id="48"/>
      <w:bookmarkEnd w:id="49"/>
    </w:p>
    <w:p>
      <w:pPr>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hAnsi="仿宋_GB2312" w:eastAsia="仿宋_GB2312" w:cs="仿宋_GB2312"/>
          <w:snapToGrid w:val="0"/>
          <w:spacing w:val="0"/>
          <w:sz w:val="28"/>
          <w:szCs w:val="28"/>
        </w:rPr>
      </w:pPr>
      <w:r>
        <w:rPr>
          <w:rFonts w:hint="eastAsia" w:ascii="仿宋_GB2312" w:hAnsi="仿宋_GB2312" w:eastAsia="仿宋_GB2312" w:cs="仿宋_GB2312"/>
          <w:snapToGrid w:val="0"/>
          <w:spacing w:val="0"/>
          <w:sz w:val="28"/>
          <w:szCs w:val="28"/>
        </w:rPr>
        <w:t>加强和改进学校体育美育。开齐开足上好体育、美育课，改善场地器材建设配备，配齐配强体育、美育教师。强化学校体育美育育人功能，聚焦教会、勤练、常赛，逐步完善体育“健康知识+基本运动技能+专项运动技能”、美育“艺术基础知识基本技能+艺术审美体验+艺术专项特长”教学模式，推动每名学生熟练掌握至少两项终身受益的运动技能和一两项艺术特长。加大校园足球建设力度，带动校园篮球、排球、武术、游泳等项目发展。严格落实音乐、美术、书法等课程，广泛开展校园艺术活动。完善《国家学生体质健康标准》抽测、公示、反馈和等级证书制度。健全面向人人的学校美育育人机制，拓展市县校三级美育实践活动平台。</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hAnsi="仿宋_GB2312" w:eastAsia="仿宋_GB2312" w:cs="仿宋_GB2312"/>
          <w:snapToGrid w:val="0"/>
          <w:spacing w:val="0"/>
          <w:sz w:val="28"/>
          <w:szCs w:val="28"/>
        </w:rPr>
      </w:pPr>
      <w:r>
        <w:rPr>
          <w:rFonts w:hint="eastAsia" w:ascii="仿宋_GB2312" w:hAnsi="仿宋_GB2312" w:eastAsia="仿宋_GB2312" w:cs="仿宋_GB2312"/>
          <w:snapToGrid w:val="0"/>
          <w:spacing w:val="0"/>
          <w:sz w:val="28"/>
          <w:szCs w:val="28"/>
        </w:rPr>
        <w:t>构建大中小学衔接的劳动教育体系。强化劳动教育树德、增智、强体、育美的综合育人功能，把劳动教育纳入人才培养全过程。创建一批劳动教育特色学校和劳动教育实践基地，组织学生参加日常生活劳动、生产劳动和服务性劳动。积极开展校外劳动实践和社区志愿服务。建立专兼职结合的劳动教育教师、教研员队伍。实施大中小学劳动周（月）活动，组织开展学生劳动素养监测，将劳动素养纳入学生综合素质评价体系，初步构建课程体系完善、师资队伍合理、保障机制健全的劳动教育体系。加强新时代学校健康教育。全面实施《健康驻马店中小学健康促进行动（2020-2030年）》，提升师生健康观念和公共卫生意识，形成文明健康的生活方式。着力构建政府支持、部门联动、学校主体、社会参与的学校健康教育体系。完善卫生保健机构人员和设施配备。健全学生健康体检和体质健康监测制度，加强青少年近视防控。加强法治教育，推进习近平法治思想学习宣传，强化法治教育培训。坚持以宪法为核心，以民法典为重点，扎实推进青少年学生法治教育工作。会同有关部门加强青少年法治教育实践基地和法治资源教室建设，提升青少年法治意识和法律素养。持续开展学生“学宪法讲宪法”活动和国家宪法日“宪法晨读”活动，进一步普及宪法知识。</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hAnsi="仿宋_GB2312" w:eastAsia="仿宋_GB2312" w:cs="仿宋_GB2312"/>
          <w:snapToGrid w:val="0"/>
          <w:spacing w:val="0"/>
          <w:sz w:val="28"/>
          <w:szCs w:val="28"/>
        </w:rPr>
      </w:pPr>
      <w:r>
        <w:rPr>
          <w:rFonts w:hint="eastAsia" w:ascii="仿宋_GB2312" w:hAnsi="仿宋_GB2312" w:eastAsia="仿宋_GB2312" w:cs="仿宋_GB2312"/>
          <w:snapToGrid w:val="0"/>
          <w:spacing w:val="0"/>
          <w:sz w:val="28"/>
          <w:szCs w:val="28"/>
        </w:rPr>
        <w:t>推进生态文明学校教育。将习近平生态文明思想和生态文明建设纳入学校教育教学活动，培养青少年生态文明行为习惯。推进“绿色学校”创建，引导师生积极践行绿色生活方式。推进生态环境保护学科建设，加大生态环境保护高层次人才培养力度。</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hAnsi="仿宋_GB2312" w:eastAsia="仿宋_GB2312" w:cs="仿宋_GB2312"/>
          <w:snapToGrid w:val="0"/>
          <w:spacing w:val="0"/>
          <w:sz w:val="28"/>
          <w:szCs w:val="28"/>
        </w:rPr>
      </w:pPr>
      <w:r>
        <w:rPr>
          <w:rFonts w:hint="eastAsia" w:ascii="仿宋_GB2312" w:hAnsi="仿宋_GB2312" w:eastAsia="仿宋_GB2312" w:cs="仿宋_GB2312"/>
          <w:snapToGrid w:val="0"/>
          <w:spacing w:val="0"/>
          <w:sz w:val="28"/>
          <w:szCs w:val="28"/>
        </w:rPr>
        <w:t>深化学校国防教育改革创新。进一步加强对学校军事课和学生军事训练的管理和指导，健全学校国防教育和学生军事训练评价机制。加强高校和高中阶段学校开展军训及国防教育工作，鼓励支持各</w:t>
      </w:r>
      <w:r>
        <w:rPr>
          <w:rFonts w:hint="eastAsia" w:ascii="仿宋_GB2312" w:hAnsi="仿宋_GB2312" w:eastAsia="仿宋_GB2312" w:cs="仿宋_GB2312"/>
          <w:snapToGrid w:val="0"/>
          <w:spacing w:val="0"/>
          <w:sz w:val="28"/>
          <w:szCs w:val="28"/>
          <w:lang w:eastAsia="zh-CN"/>
        </w:rPr>
        <w:t>县区</w:t>
      </w:r>
      <w:r>
        <w:rPr>
          <w:rFonts w:hint="eastAsia" w:ascii="仿宋_GB2312" w:hAnsi="仿宋_GB2312" w:eastAsia="仿宋_GB2312" w:cs="仿宋_GB2312"/>
          <w:snapToGrid w:val="0"/>
          <w:spacing w:val="0"/>
          <w:sz w:val="28"/>
          <w:szCs w:val="28"/>
        </w:rPr>
        <w:t>和中小学利用校内外国家安全教育资源，开设地方课程和校本课程，创建国防教育特色校、示范校活动，增强青少年学生国防观念和国家安全意识。</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hAnsi="仿宋_GB2312" w:eastAsia="仿宋_GB2312" w:cs="仿宋_GB2312"/>
          <w:snapToGrid w:val="0"/>
          <w:spacing w:val="0"/>
          <w:sz w:val="28"/>
          <w:szCs w:val="28"/>
        </w:rPr>
      </w:pPr>
      <w:r>
        <w:rPr>
          <w:rFonts w:hint="eastAsia" w:ascii="仿宋_GB2312" w:hAnsi="仿宋_GB2312" w:eastAsia="仿宋_GB2312" w:cs="仿宋_GB2312"/>
          <w:snapToGrid w:val="0"/>
          <w:spacing w:val="0"/>
          <w:sz w:val="28"/>
          <w:szCs w:val="28"/>
        </w:rPr>
        <w:t>加强新时代语言文字工作。</w:t>
      </w:r>
      <w:r>
        <w:rPr>
          <w:rFonts w:hint="eastAsia" w:ascii="仿宋_GB2312" w:hAnsi="仿宋_GB2312" w:eastAsia="仿宋_GB2312" w:cs="仿宋_GB2312"/>
          <w:snapToGrid w:val="0"/>
          <w:spacing w:val="0"/>
          <w:sz w:val="28"/>
          <w:szCs w:val="28"/>
          <w:lang w:eastAsia="zh-CN"/>
        </w:rPr>
        <w:t>继续</w:t>
      </w:r>
      <w:r>
        <w:rPr>
          <w:rFonts w:hint="eastAsia" w:ascii="仿宋_GB2312" w:hAnsi="仿宋_GB2312" w:eastAsia="仿宋_GB2312" w:cs="仿宋_GB2312"/>
          <w:snapToGrid w:val="0"/>
          <w:spacing w:val="0"/>
          <w:sz w:val="28"/>
          <w:szCs w:val="28"/>
        </w:rPr>
        <w:t>推广普及国家通用语言文字，</w:t>
      </w:r>
      <w:r>
        <w:rPr>
          <w:rFonts w:hint="eastAsia" w:ascii="仿宋_GB2312" w:hAnsi="仿宋_GB2312" w:eastAsia="仿宋_GB2312" w:cs="仿宋_GB2312"/>
          <w:snapToGrid w:val="0"/>
          <w:spacing w:val="0"/>
          <w:sz w:val="28"/>
          <w:szCs w:val="28"/>
          <w:lang w:eastAsia="zh-CN"/>
        </w:rPr>
        <w:t>提高普及程度，提高普及质量。</w:t>
      </w:r>
      <w:r>
        <w:rPr>
          <w:rFonts w:hint="eastAsia" w:ascii="仿宋_GB2312" w:hAnsi="仿宋_GB2312" w:eastAsia="仿宋_GB2312" w:cs="仿宋_GB2312"/>
          <w:snapToGrid w:val="0"/>
          <w:spacing w:val="0"/>
          <w:sz w:val="28"/>
          <w:szCs w:val="28"/>
        </w:rPr>
        <w:t>普通话总体普及率要达到9</w:t>
      </w:r>
      <w:r>
        <w:rPr>
          <w:rFonts w:hint="eastAsia" w:ascii="仿宋_GB2312" w:hAnsi="仿宋_GB2312" w:eastAsia="仿宋_GB2312" w:cs="仿宋_GB2312"/>
          <w:snapToGrid w:val="0"/>
          <w:spacing w:val="0"/>
          <w:sz w:val="28"/>
          <w:szCs w:val="28"/>
          <w:lang w:val="en-US" w:eastAsia="zh-CN"/>
        </w:rPr>
        <w:t>0</w:t>
      </w:r>
      <w:r>
        <w:rPr>
          <w:rFonts w:hint="eastAsia" w:ascii="仿宋_GB2312" w:hAnsi="仿宋_GB2312" w:eastAsia="仿宋_GB2312" w:cs="仿宋_GB2312"/>
          <w:snapToGrid w:val="0"/>
          <w:spacing w:val="0"/>
          <w:sz w:val="28"/>
          <w:szCs w:val="28"/>
        </w:rPr>
        <w:t>%；持续推进语言文字规范化、标准化、信息化建设；完成各级各类学校语言文字工作达标建设，开展语言文字规范化示范校创建。持续推进中华经典诵读工程，打造“中华经典诵写讲大赛”“诗词大赛”“汉字大赛”等特色品牌。抓好学前儿童普通话教育工作；实施推普助力乡村振兴计划，加强青壮年农民、基层干部国家通用语言文字培训</w:t>
      </w:r>
      <w:r>
        <w:rPr>
          <w:rFonts w:hint="eastAsia" w:ascii="仿宋_GB2312" w:hAnsi="仿宋_GB2312" w:eastAsia="仿宋_GB2312" w:cs="仿宋_GB2312"/>
          <w:snapToGrid w:val="0"/>
          <w:spacing w:val="0"/>
          <w:sz w:val="28"/>
          <w:szCs w:val="28"/>
          <w:lang w:eastAsia="zh-CN"/>
        </w:rPr>
        <w:t>工作</w:t>
      </w:r>
      <w:r>
        <w:rPr>
          <w:rFonts w:hint="eastAsia" w:ascii="仿宋_GB2312" w:hAnsi="仿宋_GB2312" w:eastAsia="仿宋_GB2312" w:cs="仿宋_GB2312"/>
          <w:snapToGrid w:val="0"/>
          <w:spacing w:val="0"/>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outlineLvl w:val="1"/>
        <w:rPr>
          <w:rFonts w:ascii="楷体" w:hAnsi="楷体" w:eastAsia="楷体" w:cs="楷体"/>
          <w:bCs/>
          <w:snapToGrid w:val="0"/>
          <w:spacing w:val="0"/>
          <w:sz w:val="30"/>
          <w:szCs w:val="30"/>
        </w:rPr>
      </w:pPr>
      <w:bookmarkStart w:id="50" w:name="_Toc17274"/>
      <w:bookmarkStart w:id="51" w:name="_Toc6180"/>
      <w:r>
        <w:rPr>
          <w:rFonts w:hint="eastAsia" w:ascii="楷体" w:hAnsi="楷体" w:eastAsia="楷体" w:cs="楷体"/>
          <w:bCs/>
          <w:snapToGrid w:val="0"/>
          <w:spacing w:val="0"/>
          <w:sz w:val="30"/>
          <w:szCs w:val="30"/>
        </w:rPr>
        <w:t>（四）健全家庭学校社会协同育人体系</w:t>
      </w:r>
      <w:bookmarkEnd w:id="50"/>
      <w:bookmarkEnd w:id="51"/>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hAnsi="仿宋_GB2312" w:eastAsia="仿宋_GB2312" w:cs="仿宋_GB2312"/>
          <w:snapToGrid w:val="0"/>
          <w:spacing w:val="0"/>
          <w:sz w:val="28"/>
          <w:szCs w:val="28"/>
        </w:rPr>
      </w:pPr>
      <w:r>
        <w:rPr>
          <w:rFonts w:hint="eastAsia" w:ascii="仿宋_GB2312" w:hAnsi="仿宋_GB2312" w:eastAsia="仿宋_GB2312" w:cs="仿宋_GB2312"/>
          <w:snapToGrid w:val="0"/>
          <w:spacing w:val="0"/>
          <w:sz w:val="28"/>
          <w:szCs w:val="28"/>
        </w:rPr>
        <w:t>完善高效联动的协同育人机制。强化家庭育人基本责任，健全完善家庭教育指导服务体系。加强家长委员会、家长学校、家长课堂建设，帮助家长树立正确的育人观、成才观。发挥家长言传身教的作用，用良好家教家风涵育道德品行，帮助孩子养成好思想、好品格、好习惯。家校协同抓好中小学生作业、睡眠、手机、读物、体质“五项管理”，开展“五项管理”督导，确保“五项管理”落到实处。强化学生作业管理，不得给家长布置或变相布置作业，不得要求家长检查、批改作业。</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hAnsi="仿宋_GB2312" w:eastAsia="仿宋_GB2312" w:cs="仿宋_GB2312"/>
          <w:snapToGrid w:val="0"/>
          <w:spacing w:val="0"/>
          <w:sz w:val="28"/>
          <w:szCs w:val="28"/>
        </w:rPr>
      </w:pPr>
      <w:r>
        <w:rPr>
          <w:rFonts w:hint="eastAsia" w:ascii="仿宋_GB2312" w:hAnsi="仿宋_GB2312" w:eastAsia="仿宋_GB2312" w:cs="仿宋_GB2312"/>
          <w:snapToGrid w:val="0"/>
          <w:spacing w:val="0"/>
          <w:sz w:val="28"/>
          <w:szCs w:val="28"/>
        </w:rPr>
        <w:t>强化校外教育与学校教育、家庭教育有效衔接。打造一批中小学社会实践教育基地和研学基地，探索与社会力量合作开展中小学社会实践、研学实践等活动。推动实施公民道德建设工程，利用文明创建、志愿服务、英模评选等形式，开展文明礼仪、诚实守信、勤俭节约、劳动创造幸福教育。充分发挥媒体的宣传作用，在全社会树立科学的成才观、教育观，缓解社会教育焦虑。</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rPr>
      </w:pPr>
      <w:r>
        <w:rPr>
          <w:rFonts w:hint="eastAsia" w:ascii="仿宋_GB2312" w:hAnsi="仿宋_GB2312" w:eastAsia="仿宋_GB2312" w:cs="仿宋_GB2312"/>
          <w:snapToGrid w:val="0"/>
          <w:spacing w:val="0"/>
          <w:sz w:val="28"/>
          <w:szCs w:val="28"/>
        </w:rPr>
        <w:t>减轻义务教育阶段学生作业负担和校外培训负担。强化学校育人主体地位，着力提高教学质量和服务水平。科学合理布置学生作业，扎实有效开展课后服务，使学生学习回归校园。深化校外培训机构治理，坚持从严从紧，全面规范校外培训机构培训行为，</w:t>
      </w:r>
      <w:r>
        <w:rPr>
          <w:rFonts w:hint="eastAsia" w:ascii="仿宋_GB2312" w:hAnsi="仿宋_GB2312" w:eastAsia="仿宋_GB2312" w:cs="仿宋_GB2312"/>
          <w:snapToGrid w:val="0"/>
          <w:spacing w:val="0"/>
          <w:sz w:val="28"/>
          <w:szCs w:val="28"/>
          <w:lang w:eastAsia="zh-CN"/>
        </w:rPr>
        <w:t>严格学科类校外培训管理</w:t>
      </w:r>
      <w:r>
        <w:rPr>
          <w:rFonts w:hint="eastAsia" w:ascii="仿宋_GB2312" w:hAnsi="仿宋_GB2312" w:eastAsia="仿宋_GB2312" w:cs="仿宋_GB2312"/>
          <w:snapToGrid w:val="0"/>
          <w:spacing w:val="0"/>
          <w:sz w:val="28"/>
          <w:szCs w:val="28"/>
        </w:rPr>
        <w:t>。建立“双减”工作专门协调机制，坚持政府主导、多方联动，健全保障政策机制，落实部门职责，形成工作合力，确保学生过重作业负担和校外培训负担、家庭教育支出和家长相应精力负担显著减轻，人民群众教育满意度明显提升。</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color w:val="auto"/>
        </w:rPr>
      </w:pPr>
    </w:p>
    <w:tbl>
      <w:tblPr>
        <w:tblStyle w:val="34"/>
        <w:tblW w:w="8931" w:type="dxa"/>
        <w:tblInd w:w="-279" w:type="dxa"/>
        <w:tblLayout w:type="fixed"/>
        <w:tblCellMar>
          <w:top w:w="0" w:type="dxa"/>
          <w:left w:w="0" w:type="dxa"/>
          <w:bottom w:w="0" w:type="dxa"/>
          <w:right w:w="0" w:type="dxa"/>
        </w:tblCellMar>
      </w:tblPr>
      <w:tblGrid>
        <w:gridCol w:w="1844"/>
        <w:gridCol w:w="7087"/>
      </w:tblGrid>
      <w:tr>
        <w:tblPrEx>
          <w:tblCellMar>
            <w:top w:w="0" w:type="dxa"/>
            <w:left w:w="0" w:type="dxa"/>
            <w:bottom w:w="0" w:type="dxa"/>
            <w:right w:w="0" w:type="dxa"/>
          </w:tblCellMar>
        </w:tblPrEx>
        <w:trPr>
          <w:trHeight w:val="473" w:hRule="exact"/>
        </w:trPr>
        <w:tc>
          <w:tcPr>
            <w:tcW w:w="8931" w:type="dxa"/>
            <w:gridSpan w:val="2"/>
            <w:tcBorders>
              <w:top w:val="single" w:color="000000" w:sz="4" w:space="0"/>
              <w:left w:val="single" w:color="000000" w:sz="4" w:space="0"/>
              <w:bottom w:val="single" w:color="000000" w:sz="4" w:space="0"/>
              <w:right w:val="single" w:color="000000" w:sz="4" w:space="0"/>
            </w:tcBorders>
          </w:tcPr>
          <w:p>
            <w:pPr>
              <w:pStyle w:val="35"/>
              <w:keepNext w:val="0"/>
              <w:keepLines w:val="0"/>
              <w:pageBreakBefore w:val="0"/>
              <w:widowControl w:val="0"/>
              <w:tabs>
                <w:tab w:val="left" w:pos="1185"/>
              </w:tabs>
              <w:kinsoku/>
              <w:wordWrap/>
              <w:overflowPunct/>
              <w:topLinePunct w:val="0"/>
              <w:autoSpaceDE/>
              <w:autoSpaceDN/>
              <w:bidi w:val="0"/>
              <w:adjustRightInd/>
              <w:snapToGrid/>
              <w:spacing w:before="29" w:line="320" w:lineRule="exact"/>
              <w:ind w:right="1"/>
              <w:jc w:val="center"/>
              <w:textAlignment w:val="auto"/>
              <w:rPr>
                <w:rFonts w:ascii="微软雅黑" w:hAnsi="微软雅黑" w:eastAsia="微软雅黑" w:cs="微软雅黑"/>
                <w:snapToGrid w:val="0"/>
                <w:color w:val="auto"/>
                <w:spacing w:val="0"/>
                <w:sz w:val="32"/>
                <w:szCs w:val="30"/>
              </w:rPr>
            </w:pPr>
            <w:r>
              <w:rPr>
                <w:rFonts w:hint="eastAsia" w:ascii="黑体" w:hAnsi="黑体" w:eastAsia="黑体" w:cs="黑体"/>
                <w:snapToGrid w:val="0"/>
                <w:color w:val="auto"/>
                <w:spacing w:val="0"/>
                <w:sz w:val="32"/>
                <w:szCs w:val="30"/>
              </w:rPr>
              <w:t>专栏2</w:t>
            </w:r>
            <w:r>
              <w:rPr>
                <w:rFonts w:hint="eastAsia" w:ascii="黑体" w:hAnsi="黑体" w:eastAsia="黑体" w:cs="黑体"/>
                <w:snapToGrid w:val="0"/>
                <w:color w:val="auto"/>
                <w:spacing w:val="0"/>
                <w:sz w:val="32"/>
                <w:szCs w:val="30"/>
              </w:rPr>
              <w:tab/>
            </w:r>
            <w:r>
              <w:rPr>
                <w:rFonts w:hint="eastAsia" w:ascii="黑体" w:hAnsi="黑体" w:eastAsia="黑体" w:cs="黑体"/>
                <w:snapToGrid w:val="0"/>
                <w:color w:val="auto"/>
                <w:spacing w:val="0"/>
                <w:sz w:val="32"/>
                <w:szCs w:val="30"/>
              </w:rPr>
              <w:t>铸魂育人工程</w:t>
            </w:r>
          </w:p>
        </w:tc>
      </w:tr>
      <w:tr>
        <w:tblPrEx>
          <w:tblCellMar>
            <w:top w:w="0" w:type="dxa"/>
            <w:left w:w="0" w:type="dxa"/>
            <w:bottom w:w="0" w:type="dxa"/>
            <w:right w:w="0" w:type="dxa"/>
          </w:tblCellMar>
        </w:tblPrEx>
        <w:trPr>
          <w:trHeight w:val="1263" w:hRule="exact"/>
        </w:trPr>
        <w:tc>
          <w:tcPr>
            <w:tcW w:w="1844" w:type="dxa"/>
            <w:tcBorders>
              <w:top w:val="single" w:color="000000" w:sz="4" w:space="0"/>
              <w:left w:val="single" w:color="000000" w:sz="4" w:space="0"/>
              <w:bottom w:val="single" w:color="000000" w:sz="4" w:space="0"/>
              <w:right w:val="single" w:color="000000" w:sz="4" w:space="0"/>
            </w:tcBorders>
          </w:tcPr>
          <w:p>
            <w:pPr>
              <w:pStyle w:val="35"/>
              <w:keepNext w:val="0"/>
              <w:keepLines w:val="0"/>
              <w:pageBreakBefore w:val="0"/>
              <w:widowControl w:val="0"/>
              <w:kinsoku/>
              <w:wordWrap/>
              <w:overflowPunct/>
              <w:topLinePunct w:val="0"/>
              <w:autoSpaceDE/>
              <w:autoSpaceDN/>
              <w:bidi w:val="0"/>
              <w:adjustRightInd/>
              <w:snapToGrid/>
              <w:spacing w:before="148" w:line="320" w:lineRule="exact"/>
              <w:ind w:right="155"/>
              <w:textAlignment w:val="auto"/>
              <w:rPr>
                <w:rFonts w:ascii="楷体" w:hAnsi="楷体" w:eastAsia="楷体" w:cs="楷体"/>
                <w:snapToGrid w:val="0"/>
                <w:color w:val="auto"/>
                <w:spacing w:val="0"/>
                <w:sz w:val="24"/>
                <w:szCs w:val="24"/>
              </w:rPr>
            </w:pPr>
            <w:r>
              <w:rPr>
                <w:rFonts w:ascii="楷体" w:hAnsi="楷体" w:eastAsia="楷体" w:cs="楷体"/>
                <w:snapToGrid w:val="0"/>
                <w:color w:val="auto"/>
                <w:spacing w:val="0"/>
                <w:sz w:val="24"/>
                <w:szCs w:val="24"/>
              </w:rPr>
              <w:t>立德树</w:t>
            </w:r>
            <w:r>
              <w:rPr>
                <w:rFonts w:hint="eastAsia" w:ascii="楷体" w:hAnsi="楷体" w:eastAsia="楷体" w:cs="楷体"/>
                <w:snapToGrid w:val="0"/>
                <w:color w:val="auto"/>
                <w:spacing w:val="0"/>
                <w:sz w:val="24"/>
                <w:szCs w:val="24"/>
                <w:lang w:eastAsia="zh-CN"/>
              </w:rPr>
              <w:t>人</w:t>
            </w:r>
            <w:r>
              <w:rPr>
                <w:rFonts w:ascii="楷体" w:hAnsi="楷体" w:eastAsia="楷体" w:cs="楷体"/>
                <w:snapToGrid w:val="0"/>
                <w:color w:val="auto"/>
                <w:spacing w:val="0"/>
                <w:sz w:val="24"/>
                <w:szCs w:val="24"/>
              </w:rPr>
              <w:t>示范校工程</w:t>
            </w:r>
          </w:p>
        </w:tc>
        <w:tc>
          <w:tcPr>
            <w:tcW w:w="7087" w:type="dxa"/>
            <w:tcBorders>
              <w:top w:val="single" w:color="000000" w:sz="4" w:space="0"/>
              <w:left w:val="single" w:color="000000" w:sz="4" w:space="0"/>
              <w:bottom w:val="single" w:color="000000" w:sz="4" w:space="0"/>
              <w:right w:val="single" w:color="000000" w:sz="4" w:space="0"/>
            </w:tcBorders>
          </w:tcPr>
          <w:p>
            <w:pPr>
              <w:pStyle w:val="35"/>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ascii="楷体" w:hAnsi="楷体" w:eastAsia="楷体" w:cs="楷体"/>
                <w:snapToGrid w:val="0"/>
                <w:color w:val="auto"/>
                <w:spacing w:val="0"/>
                <w:sz w:val="24"/>
                <w:szCs w:val="24"/>
                <w:lang w:eastAsia="zh-CN"/>
              </w:rPr>
            </w:pPr>
            <w:r>
              <w:rPr>
                <w:rFonts w:hint="eastAsia" w:ascii="楷体" w:hAnsi="楷体" w:eastAsia="楷体" w:cs="楷体"/>
                <w:snapToGrid w:val="0"/>
                <w:color w:val="auto"/>
                <w:spacing w:val="0"/>
                <w:sz w:val="24"/>
                <w:szCs w:val="24"/>
                <w:lang w:eastAsia="zh-CN"/>
              </w:rPr>
              <w:t>积极</w:t>
            </w:r>
            <w:r>
              <w:rPr>
                <w:rFonts w:ascii="楷体" w:hAnsi="楷体" w:eastAsia="楷体" w:cs="楷体"/>
                <w:snapToGrid w:val="0"/>
                <w:color w:val="auto"/>
                <w:spacing w:val="0"/>
                <w:sz w:val="24"/>
                <w:szCs w:val="24"/>
                <w:lang w:eastAsia="zh-CN"/>
              </w:rPr>
              <w:t>创建</w:t>
            </w:r>
            <w:r>
              <w:rPr>
                <w:rFonts w:hint="eastAsia" w:ascii="楷体" w:hAnsi="楷体" w:eastAsia="楷体" w:cs="楷体"/>
                <w:snapToGrid w:val="0"/>
                <w:color w:val="auto"/>
                <w:spacing w:val="0"/>
                <w:sz w:val="24"/>
                <w:szCs w:val="24"/>
                <w:lang w:eastAsia="zh-CN"/>
              </w:rPr>
              <w:t>省</w:t>
            </w:r>
            <w:r>
              <w:rPr>
                <w:rFonts w:ascii="楷体" w:hAnsi="楷体" w:eastAsia="楷体" w:cs="楷体"/>
                <w:snapToGrid w:val="0"/>
                <w:color w:val="auto"/>
                <w:spacing w:val="0"/>
                <w:sz w:val="24"/>
                <w:szCs w:val="24"/>
                <w:lang w:eastAsia="zh-CN"/>
              </w:rPr>
              <w:t>级</w:t>
            </w:r>
            <w:r>
              <w:rPr>
                <w:rFonts w:hint="eastAsia" w:ascii="楷体" w:hAnsi="楷体" w:eastAsia="楷体" w:cs="楷体"/>
                <w:snapToGrid w:val="0"/>
                <w:color w:val="auto"/>
                <w:spacing w:val="0"/>
                <w:sz w:val="24"/>
                <w:szCs w:val="24"/>
                <w:lang w:eastAsia="zh-CN"/>
              </w:rPr>
              <w:t>高中阶段（</w:t>
            </w:r>
            <w:r>
              <w:rPr>
                <w:rFonts w:hint="eastAsia" w:ascii="楷体" w:hAnsi="楷体" w:eastAsia="楷体" w:cs="楷体"/>
                <w:snapToGrid w:val="0"/>
                <w:color w:val="auto"/>
                <w:spacing w:val="0"/>
                <w:sz w:val="24"/>
                <w:szCs w:val="24"/>
                <w:lang w:val="en-US" w:eastAsia="zh-CN"/>
              </w:rPr>
              <w:t>含中等职业学校</w:t>
            </w:r>
            <w:r>
              <w:rPr>
                <w:rFonts w:hint="eastAsia" w:ascii="楷体" w:hAnsi="楷体" w:eastAsia="楷体" w:cs="楷体"/>
                <w:snapToGrid w:val="0"/>
                <w:color w:val="auto"/>
                <w:spacing w:val="0"/>
                <w:sz w:val="24"/>
                <w:szCs w:val="24"/>
                <w:lang w:eastAsia="zh-CN"/>
              </w:rPr>
              <w:t>）、义务</w:t>
            </w:r>
            <w:r>
              <w:rPr>
                <w:rFonts w:ascii="楷体" w:hAnsi="楷体" w:eastAsia="楷体" w:cs="楷体"/>
                <w:snapToGrid w:val="0"/>
                <w:color w:val="auto"/>
                <w:spacing w:val="0"/>
                <w:sz w:val="24"/>
                <w:szCs w:val="24"/>
                <w:lang w:eastAsia="zh-CN"/>
              </w:rPr>
              <w:t>教育立德树人示范校</w:t>
            </w:r>
            <w:r>
              <w:rPr>
                <w:rFonts w:hint="eastAsia" w:ascii="楷体" w:hAnsi="楷体" w:eastAsia="楷体" w:cs="楷体"/>
                <w:snapToGrid w:val="0"/>
                <w:color w:val="auto"/>
                <w:spacing w:val="0"/>
                <w:sz w:val="24"/>
                <w:szCs w:val="24"/>
                <w:lang w:eastAsia="zh-CN"/>
              </w:rPr>
              <w:t>；</w:t>
            </w:r>
            <w:r>
              <w:rPr>
                <w:rFonts w:ascii="楷体" w:hAnsi="楷体" w:eastAsia="楷体" w:cs="楷体"/>
                <w:snapToGrid w:val="0"/>
                <w:color w:val="auto"/>
                <w:spacing w:val="0"/>
                <w:sz w:val="24"/>
                <w:szCs w:val="24"/>
                <w:lang w:eastAsia="zh-CN"/>
              </w:rPr>
              <w:t>创建</w:t>
            </w:r>
            <w:r>
              <w:rPr>
                <w:rFonts w:hint="eastAsia" w:ascii="楷体" w:hAnsi="楷体" w:eastAsia="楷体" w:cs="楷体"/>
                <w:snapToGrid w:val="0"/>
                <w:color w:val="auto"/>
                <w:spacing w:val="0"/>
                <w:sz w:val="24"/>
                <w:szCs w:val="24"/>
                <w:lang w:val="en-US" w:eastAsia="zh-CN"/>
              </w:rPr>
              <w:t>10</w:t>
            </w:r>
            <w:r>
              <w:rPr>
                <w:rFonts w:ascii="楷体" w:hAnsi="楷体" w:eastAsia="楷体" w:cs="楷体"/>
                <w:snapToGrid w:val="0"/>
                <w:color w:val="auto"/>
                <w:spacing w:val="0"/>
                <w:sz w:val="24"/>
                <w:szCs w:val="24"/>
                <w:lang w:eastAsia="zh-CN"/>
              </w:rPr>
              <w:t>所</w:t>
            </w:r>
            <w:r>
              <w:rPr>
                <w:rFonts w:hint="eastAsia" w:ascii="楷体" w:hAnsi="楷体" w:eastAsia="楷体" w:cs="楷体"/>
                <w:snapToGrid w:val="0"/>
                <w:color w:val="auto"/>
                <w:spacing w:val="0"/>
                <w:sz w:val="24"/>
                <w:szCs w:val="24"/>
                <w:lang w:eastAsia="zh-CN"/>
              </w:rPr>
              <w:t>省市</w:t>
            </w:r>
            <w:r>
              <w:rPr>
                <w:rFonts w:ascii="楷体" w:hAnsi="楷体" w:eastAsia="楷体" w:cs="楷体"/>
                <w:snapToGrid w:val="0"/>
                <w:color w:val="auto"/>
                <w:spacing w:val="0"/>
                <w:sz w:val="24"/>
                <w:szCs w:val="24"/>
                <w:lang w:eastAsia="zh-CN"/>
              </w:rPr>
              <w:t>级</w:t>
            </w:r>
            <w:r>
              <w:rPr>
                <w:rFonts w:hint="eastAsia" w:ascii="楷体" w:hAnsi="楷体" w:eastAsia="楷体" w:cs="楷体"/>
                <w:snapToGrid w:val="0"/>
                <w:color w:val="auto"/>
                <w:spacing w:val="0"/>
                <w:sz w:val="24"/>
                <w:szCs w:val="24"/>
                <w:lang w:eastAsia="zh-CN"/>
              </w:rPr>
              <w:t>高中阶段和</w:t>
            </w:r>
            <w:r>
              <w:rPr>
                <w:rFonts w:hint="eastAsia" w:ascii="楷体" w:hAnsi="楷体" w:eastAsia="楷体" w:cs="楷体"/>
                <w:snapToGrid w:val="0"/>
                <w:color w:val="auto"/>
                <w:spacing w:val="0"/>
                <w:sz w:val="24"/>
                <w:szCs w:val="24"/>
                <w:lang w:val="en-US" w:eastAsia="zh-CN"/>
              </w:rPr>
              <w:t>150</w:t>
            </w:r>
            <w:r>
              <w:rPr>
                <w:rFonts w:ascii="楷体" w:hAnsi="楷体" w:eastAsia="楷体" w:cs="楷体"/>
                <w:snapToGrid w:val="0"/>
                <w:color w:val="auto"/>
                <w:spacing w:val="0"/>
                <w:sz w:val="24"/>
                <w:szCs w:val="24"/>
                <w:lang w:eastAsia="zh-CN"/>
              </w:rPr>
              <w:t>所</w:t>
            </w:r>
            <w:r>
              <w:rPr>
                <w:rFonts w:hint="eastAsia" w:ascii="楷体" w:hAnsi="楷体" w:eastAsia="楷体" w:cs="楷体"/>
                <w:snapToGrid w:val="0"/>
                <w:color w:val="auto"/>
                <w:spacing w:val="0"/>
                <w:sz w:val="24"/>
                <w:szCs w:val="24"/>
                <w:lang w:eastAsia="zh-CN"/>
              </w:rPr>
              <w:t>市级义务</w:t>
            </w:r>
            <w:r>
              <w:rPr>
                <w:rFonts w:ascii="楷体" w:hAnsi="楷体" w:eastAsia="楷体" w:cs="楷体"/>
                <w:snapToGrid w:val="0"/>
                <w:color w:val="auto"/>
                <w:spacing w:val="0"/>
                <w:sz w:val="24"/>
                <w:szCs w:val="24"/>
                <w:lang w:eastAsia="zh-CN"/>
              </w:rPr>
              <w:t>教育立德树人示范校</w:t>
            </w:r>
            <w:r>
              <w:rPr>
                <w:rFonts w:hint="eastAsia" w:ascii="楷体" w:hAnsi="楷体" w:eastAsia="楷体" w:cs="楷体"/>
                <w:snapToGrid w:val="0"/>
                <w:color w:val="auto"/>
                <w:spacing w:val="0"/>
                <w:sz w:val="24"/>
                <w:szCs w:val="24"/>
                <w:lang w:eastAsia="zh-CN"/>
              </w:rPr>
              <w:t>；</w:t>
            </w:r>
            <w:r>
              <w:rPr>
                <w:rFonts w:ascii="楷体" w:hAnsi="楷体" w:eastAsia="楷体" w:cs="楷体"/>
                <w:snapToGrid w:val="0"/>
                <w:color w:val="auto"/>
                <w:spacing w:val="0"/>
                <w:sz w:val="24"/>
                <w:szCs w:val="24"/>
                <w:lang w:eastAsia="zh-CN"/>
              </w:rPr>
              <w:t>引领各级各类学校坚持德智体美劳五育并举，全员全过程全方位育人。</w:t>
            </w:r>
          </w:p>
        </w:tc>
      </w:tr>
      <w:tr>
        <w:tblPrEx>
          <w:tblCellMar>
            <w:top w:w="0" w:type="dxa"/>
            <w:left w:w="0" w:type="dxa"/>
            <w:bottom w:w="0" w:type="dxa"/>
            <w:right w:w="0" w:type="dxa"/>
          </w:tblCellMar>
        </w:tblPrEx>
        <w:trPr>
          <w:trHeight w:val="1268" w:hRule="exact"/>
        </w:trPr>
        <w:tc>
          <w:tcPr>
            <w:tcW w:w="1844" w:type="dxa"/>
            <w:tcBorders>
              <w:top w:val="single" w:color="000000" w:sz="4" w:space="0"/>
              <w:left w:val="single" w:color="000000" w:sz="4" w:space="0"/>
              <w:bottom w:val="single" w:color="auto" w:sz="4" w:space="0"/>
              <w:right w:val="single" w:color="000000" w:sz="4" w:space="0"/>
            </w:tcBorders>
          </w:tcPr>
          <w:p>
            <w:pPr>
              <w:pStyle w:val="35"/>
              <w:keepNext w:val="0"/>
              <w:keepLines w:val="0"/>
              <w:pageBreakBefore w:val="0"/>
              <w:widowControl w:val="0"/>
              <w:kinsoku/>
              <w:wordWrap/>
              <w:overflowPunct/>
              <w:topLinePunct w:val="0"/>
              <w:autoSpaceDE/>
              <w:autoSpaceDN/>
              <w:bidi w:val="0"/>
              <w:adjustRightInd/>
              <w:snapToGrid/>
              <w:spacing w:line="320" w:lineRule="exact"/>
              <w:textAlignment w:val="auto"/>
              <w:rPr>
                <w:rFonts w:ascii="仿宋_GB2312" w:hAnsi="仿宋_GB2312" w:eastAsia="仿宋_GB2312" w:cs="仿宋_GB2312"/>
                <w:snapToGrid w:val="0"/>
                <w:color w:val="auto"/>
                <w:spacing w:val="0"/>
                <w:sz w:val="24"/>
                <w:szCs w:val="24"/>
                <w:lang w:eastAsia="zh-CN"/>
              </w:rPr>
            </w:pPr>
          </w:p>
          <w:p>
            <w:pPr>
              <w:pStyle w:val="35"/>
              <w:keepNext w:val="0"/>
              <w:keepLines w:val="0"/>
              <w:pageBreakBefore w:val="0"/>
              <w:widowControl w:val="0"/>
              <w:kinsoku/>
              <w:wordWrap/>
              <w:overflowPunct/>
              <w:topLinePunct w:val="0"/>
              <w:autoSpaceDE/>
              <w:autoSpaceDN/>
              <w:bidi w:val="0"/>
              <w:adjustRightInd/>
              <w:snapToGrid/>
              <w:spacing w:line="320" w:lineRule="exact"/>
              <w:textAlignment w:val="auto"/>
              <w:rPr>
                <w:rFonts w:ascii="楷体" w:hAnsi="楷体" w:eastAsia="楷体" w:cs="楷体"/>
                <w:snapToGrid w:val="0"/>
                <w:color w:val="auto"/>
                <w:spacing w:val="0"/>
                <w:sz w:val="24"/>
                <w:szCs w:val="24"/>
              </w:rPr>
            </w:pPr>
            <w:r>
              <w:rPr>
                <w:rFonts w:ascii="楷体" w:hAnsi="楷体" w:eastAsia="楷体" w:cs="楷体"/>
                <w:snapToGrid w:val="0"/>
                <w:color w:val="auto"/>
                <w:spacing w:val="0"/>
                <w:sz w:val="24"/>
                <w:szCs w:val="24"/>
              </w:rPr>
              <w:t>网络思政育人工程</w:t>
            </w:r>
          </w:p>
        </w:tc>
        <w:tc>
          <w:tcPr>
            <w:tcW w:w="7087" w:type="dxa"/>
            <w:tcBorders>
              <w:top w:val="single" w:color="000000" w:sz="4" w:space="0"/>
              <w:left w:val="single" w:color="000000" w:sz="4" w:space="0"/>
              <w:bottom w:val="single" w:color="auto" w:sz="4" w:space="0"/>
              <w:right w:val="single" w:color="000000" w:sz="4" w:space="0"/>
            </w:tcBorders>
          </w:tcPr>
          <w:p>
            <w:pPr>
              <w:pStyle w:val="35"/>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ascii="楷体" w:hAnsi="楷体" w:eastAsia="楷体" w:cs="楷体"/>
                <w:snapToGrid w:val="0"/>
                <w:color w:val="auto"/>
                <w:spacing w:val="0"/>
                <w:sz w:val="24"/>
                <w:szCs w:val="24"/>
                <w:lang w:eastAsia="zh-CN"/>
              </w:rPr>
            </w:pPr>
            <w:r>
              <w:rPr>
                <w:rFonts w:ascii="楷体" w:hAnsi="楷体" w:eastAsia="楷体" w:cs="楷体"/>
                <w:snapToGrid w:val="0"/>
                <w:color w:val="auto"/>
                <w:spacing w:val="0"/>
                <w:sz w:val="24"/>
                <w:szCs w:val="24"/>
                <w:lang w:eastAsia="zh-CN"/>
              </w:rPr>
              <w:t>建设一批网络思政工作基地，支持一批育人融媒体平台，培育一批网络思政工作室。实施网络教育名师培育支持计划，组建“思政引领轻骑兵”队伍，打造“思政名师+时政热点+思政育人”工作模式，提高网络思政育人成效。</w:t>
            </w:r>
          </w:p>
        </w:tc>
      </w:tr>
      <w:tr>
        <w:tblPrEx>
          <w:tblCellMar>
            <w:top w:w="0" w:type="dxa"/>
            <w:left w:w="0" w:type="dxa"/>
            <w:bottom w:w="0" w:type="dxa"/>
            <w:right w:w="0" w:type="dxa"/>
          </w:tblCellMar>
        </w:tblPrEx>
        <w:trPr>
          <w:trHeight w:val="1640" w:hRule="exact"/>
        </w:trPr>
        <w:tc>
          <w:tcPr>
            <w:tcW w:w="1844" w:type="dxa"/>
            <w:tcBorders>
              <w:top w:val="single" w:color="auto" w:sz="4" w:space="0"/>
              <w:left w:val="single" w:color="auto" w:sz="4" w:space="0"/>
              <w:bottom w:val="single" w:color="auto" w:sz="4" w:space="0"/>
              <w:right w:val="single" w:color="auto" w:sz="4" w:space="0"/>
            </w:tcBorders>
          </w:tcPr>
          <w:p>
            <w:pPr>
              <w:pStyle w:val="35"/>
              <w:keepNext w:val="0"/>
              <w:keepLines w:val="0"/>
              <w:pageBreakBefore w:val="0"/>
              <w:widowControl w:val="0"/>
              <w:kinsoku/>
              <w:wordWrap/>
              <w:overflowPunct/>
              <w:topLinePunct w:val="0"/>
              <w:autoSpaceDE/>
              <w:autoSpaceDN/>
              <w:bidi w:val="0"/>
              <w:adjustRightInd/>
              <w:snapToGrid/>
              <w:spacing w:line="320" w:lineRule="exact"/>
              <w:ind w:right="155"/>
              <w:jc w:val="both"/>
              <w:textAlignment w:val="auto"/>
              <w:rPr>
                <w:rFonts w:ascii="楷体" w:hAnsi="楷体" w:eastAsia="楷体" w:cs="楷体"/>
                <w:snapToGrid w:val="0"/>
                <w:color w:val="auto"/>
                <w:spacing w:val="0"/>
                <w:sz w:val="24"/>
                <w:szCs w:val="24"/>
                <w:lang w:eastAsia="zh-CN"/>
              </w:rPr>
            </w:pPr>
            <w:r>
              <w:rPr>
                <w:rFonts w:ascii="楷体" w:hAnsi="楷体" w:eastAsia="楷体" w:cs="楷体"/>
                <w:snapToGrid w:val="0"/>
                <w:color w:val="auto"/>
                <w:spacing w:val="0"/>
                <w:sz w:val="24"/>
                <w:szCs w:val="24"/>
                <w:lang w:eastAsia="zh-CN"/>
              </w:rPr>
              <w:t>体育美育劳动教育质量提升工程</w:t>
            </w:r>
          </w:p>
        </w:tc>
        <w:tc>
          <w:tcPr>
            <w:tcW w:w="7087" w:type="dxa"/>
            <w:tcBorders>
              <w:top w:val="single" w:color="auto" w:sz="4" w:space="0"/>
              <w:left w:val="single" w:color="auto" w:sz="4" w:space="0"/>
              <w:bottom w:val="single" w:color="auto" w:sz="4" w:space="0"/>
              <w:right w:val="single" w:color="000000" w:sz="4" w:space="0"/>
            </w:tcBorders>
          </w:tcPr>
          <w:p>
            <w:pPr>
              <w:pStyle w:val="35"/>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ascii="楷体" w:hAnsi="楷体" w:eastAsia="楷体" w:cs="楷体"/>
                <w:snapToGrid w:val="0"/>
                <w:color w:val="auto"/>
                <w:spacing w:val="0"/>
                <w:sz w:val="24"/>
                <w:szCs w:val="24"/>
                <w:lang w:eastAsia="zh-CN"/>
              </w:rPr>
            </w:pPr>
            <w:r>
              <w:rPr>
                <w:rFonts w:ascii="楷体" w:hAnsi="楷体" w:eastAsia="楷体" w:cs="楷体"/>
                <w:snapToGrid w:val="0"/>
                <w:color w:val="auto"/>
                <w:spacing w:val="0"/>
                <w:sz w:val="24"/>
                <w:szCs w:val="24"/>
                <w:lang w:eastAsia="zh-CN"/>
              </w:rPr>
              <w:t>创建国家级校园足球特色学校、幼儿园</w:t>
            </w:r>
            <w:r>
              <w:rPr>
                <w:rFonts w:hint="eastAsia" w:ascii="楷体" w:hAnsi="楷体" w:eastAsia="楷体" w:cs="楷体"/>
                <w:snapToGrid w:val="0"/>
                <w:color w:val="auto"/>
                <w:spacing w:val="0"/>
                <w:sz w:val="24"/>
                <w:szCs w:val="24"/>
                <w:lang w:eastAsia="zh-CN"/>
              </w:rPr>
              <w:t>100</w:t>
            </w:r>
            <w:r>
              <w:rPr>
                <w:rFonts w:ascii="楷体" w:hAnsi="楷体" w:eastAsia="楷体" w:cs="楷体"/>
                <w:snapToGrid w:val="0"/>
                <w:color w:val="auto"/>
                <w:spacing w:val="0"/>
                <w:sz w:val="24"/>
                <w:szCs w:val="24"/>
                <w:lang w:eastAsia="zh-CN"/>
              </w:rPr>
              <w:t>所，国家级篮球、</w:t>
            </w:r>
          </w:p>
          <w:p>
            <w:pPr>
              <w:pStyle w:val="35"/>
              <w:keepNext w:val="0"/>
              <w:keepLines w:val="0"/>
              <w:pageBreakBefore w:val="0"/>
              <w:widowControl w:val="0"/>
              <w:kinsoku/>
              <w:wordWrap/>
              <w:overflowPunct/>
              <w:topLinePunct w:val="0"/>
              <w:autoSpaceDE/>
              <w:autoSpaceDN/>
              <w:bidi w:val="0"/>
              <w:adjustRightInd/>
              <w:snapToGrid/>
              <w:spacing w:line="320" w:lineRule="exact"/>
              <w:textAlignment w:val="auto"/>
              <w:rPr>
                <w:rFonts w:ascii="楷体" w:hAnsi="楷体" w:eastAsia="楷体" w:cs="楷体"/>
                <w:snapToGrid w:val="0"/>
                <w:color w:val="auto"/>
                <w:spacing w:val="0"/>
                <w:sz w:val="24"/>
                <w:szCs w:val="24"/>
                <w:lang w:eastAsia="zh-CN"/>
              </w:rPr>
            </w:pPr>
            <w:r>
              <w:rPr>
                <w:rFonts w:ascii="楷体" w:hAnsi="楷体" w:eastAsia="楷体" w:cs="楷体"/>
                <w:snapToGrid w:val="0"/>
                <w:color w:val="auto"/>
                <w:spacing w:val="0"/>
                <w:sz w:val="24"/>
                <w:szCs w:val="24"/>
                <w:lang w:eastAsia="zh-CN"/>
              </w:rPr>
              <w:t>排球</w:t>
            </w:r>
            <w:r>
              <w:rPr>
                <w:rFonts w:hint="eastAsia" w:ascii="楷体" w:hAnsi="楷体" w:eastAsia="楷体" w:cs="楷体"/>
                <w:snapToGrid w:val="0"/>
                <w:color w:val="auto"/>
                <w:spacing w:val="0"/>
                <w:sz w:val="24"/>
                <w:szCs w:val="24"/>
                <w:lang w:eastAsia="zh-CN"/>
              </w:rPr>
              <w:t>、</w:t>
            </w:r>
            <w:r>
              <w:rPr>
                <w:rFonts w:ascii="楷体" w:hAnsi="楷体" w:eastAsia="楷体" w:cs="楷体"/>
                <w:snapToGrid w:val="0"/>
                <w:color w:val="auto"/>
                <w:spacing w:val="0"/>
                <w:sz w:val="24"/>
                <w:szCs w:val="24"/>
                <w:lang w:eastAsia="zh-CN"/>
              </w:rPr>
              <w:t>冰雪特色学校</w:t>
            </w:r>
            <w:r>
              <w:rPr>
                <w:rFonts w:hint="eastAsia" w:ascii="楷体" w:hAnsi="楷体" w:eastAsia="楷体" w:cs="楷体"/>
                <w:snapToGrid w:val="0"/>
                <w:color w:val="auto"/>
                <w:spacing w:val="0"/>
                <w:sz w:val="24"/>
                <w:szCs w:val="24"/>
                <w:lang w:val="en-US" w:eastAsia="zh-CN"/>
              </w:rPr>
              <w:t>4</w:t>
            </w:r>
            <w:r>
              <w:rPr>
                <w:rFonts w:hint="eastAsia" w:ascii="楷体" w:hAnsi="楷体" w:eastAsia="楷体" w:cs="楷体"/>
                <w:snapToGrid w:val="0"/>
                <w:color w:val="auto"/>
                <w:spacing w:val="0"/>
                <w:sz w:val="24"/>
                <w:szCs w:val="24"/>
                <w:lang w:eastAsia="zh-CN"/>
              </w:rPr>
              <w:t>0</w:t>
            </w:r>
            <w:r>
              <w:rPr>
                <w:rFonts w:ascii="楷体" w:hAnsi="楷体" w:eastAsia="楷体" w:cs="楷体"/>
                <w:snapToGrid w:val="0"/>
                <w:color w:val="auto"/>
                <w:spacing w:val="0"/>
                <w:sz w:val="24"/>
                <w:szCs w:val="24"/>
                <w:lang w:eastAsia="zh-CN"/>
              </w:rPr>
              <w:t>所；省级体育美育“一校一品”“一校多品”特色校</w:t>
            </w:r>
            <w:r>
              <w:rPr>
                <w:rFonts w:hint="eastAsia" w:ascii="楷体" w:hAnsi="楷体" w:eastAsia="楷体" w:cs="楷体"/>
                <w:snapToGrid w:val="0"/>
                <w:color w:val="auto"/>
                <w:spacing w:val="0"/>
                <w:sz w:val="24"/>
                <w:szCs w:val="24"/>
                <w:lang w:val="en-US" w:eastAsia="zh-CN"/>
              </w:rPr>
              <w:t>6</w:t>
            </w:r>
            <w:r>
              <w:rPr>
                <w:rFonts w:hint="eastAsia" w:ascii="楷体" w:hAnsi="楷体" w:eastAsia="楷体" w:cs="楷体"/>
                <w:snapToGrid w:val="0"/>
                <w:color w:val="auto"/>
                <w:spacing w:val="0"/>
                <w:sz w:val="24"/>
                <w:szCs w:val="24"/>
                <w:lang w:eastAsia="zh-CN"/>
              </w:rPr>
              <w:t>0</w:t>
            </w:r>
            <w:r>
              <w:rPr>
                <w:rFonts w:ascii="楷体" w:hAnsi="楷体" w:eastAsia="楷体" w:cs="楷体"/>
                <w:snapToGrid w:val="0"/>
                <w:color w:val="auto"/>
                <w:spacing w:val="0"/>
                <w:sz w:val="24"/>
                <w:szCs w:val="24"/>
                <w:lang w:eastAsia="zh-CN"/>
              </w:rPr>
              <w:t>所；创建</w:t>
            </w:r>
            <w:r>
              <w:rPr>
                <w:rFonts w:hint="eastAsia" w:ascii="楷体" w:hAnsi="楷体" w:eastAsia="楷体" w:cs="楷体"/>
                <w:snapToGrid w:val="0"/>
                <w:color w:val="auto"/>
                <w:spacing w:val="0"/>
                <w:sz w:val="24"/>
                <w:szCs w:val="24"/>
                <w:lang w:val="en-US" w:eastAsia="zh-CN"/>
              </w:rPr>
              <w:t>5</w:t>
            </w:r>
            <w:r>
              <w:rPr>
                <w:rFonts w:hint="eastAsia" w:ascii="楷体" w:hAnsi="楷体" w:eastAsia="楷体" w:cs="楷体"/>
                <w:snapToGrid w:val="0"/>
                <w:color w:val="auto"/>
                <w:spacing w:val="0"/>
                <w:sz w:val="24"/>
                <w:szCs w:val="24"/>
                <w:lang w:eastAsia="zh-CN"/>
              </w:rPr>
              <w:t>0</w:t>
            </w:r>
            <w:r>
              <w:rPr>
                <w:rFonts w:ascii="楷体" w:hAnsi="楷体" w:eastAsia="楷体" w:cs="楷体"/>
                <w:snapToGrid w:val="0"/>
                <w:color w:val="auto"/>
                <w:spacing w:val="0"/>
                <w:sz w:val="24"/>
                <w:szCs w:val="24"/>
                <w:lang w:eastAsia="zh-CN"/>
              </w:rPr>
              <w:t>所省级中小学劳动教育特色学校、</w:t>
            </w:r>
            <w:r>
              <w:rPr>
                <w:rFonts w:hint="eastAsia" w:ascii="楷体" w:hAnsi="楷体" w:eastAsia="楷体" w:cs="楷体"/>
                <w:snapToGrid w:val="0"/>
                <w:color w:val="auto"/>
                <w:spacing w:val="0"/>
                <w:sz w:val="24"/>
                <w:szCs w:val="24"/>
                <w:lang w:val="en-US" w:eastAsia="zh-CN"/>
              </w:rPr>
              <w:t>5</w:t>
            </w:r>
            <w:r>
              <w:rPr>
                <w:rFonts w:hint="eastAsia" w:ascii="楷体" w:hAnsi="楷体" w:eastAsia="楷体" w:cs="楷体"/>
                <w:snapToGrid w:val="0"/>
                <w:color w:val="auto"/>
                <w:spacing w:val="0"/>
                <w:sz w:val="24"/>
                <w:szCs w:val="24"/>
                <w:lang w:eastAsia="zh-CN"/>
              </w:rPr>
              <w:t>0</w:t>
            </w:r>
            <w:r>
              <w:rPr>
                <w:rFonts w:ascii="楷体" w:hAnsi="楷体" w:eastAsia="楷体" w:cs="楷体"/>
                <w:snapToGrid w:val="0"/>
                <w:color w:val="auto"/>
                <w:spacing w:val="0"/>
                <w:sz w:val="24"/>
                <w:szCs w:val="24"/>
                <w:lang w:eastAsia="zh-CN"/>
              </w:rPr>
              <w:t>个省级中小学劳动教育实践基地、</w:t>
            </w:r>
            <w:r>
              <w:rPr>
                <w:rFonts w:hint="eastAsia" w:ascii="楷体" w:hAnsi="楷体" w:eastAsia="楷体" w:cs="楷体"/>
                <w:snapToGrid w:val="0"/>
                <w:color w:val="auto"/>
                <w:spacing w:val="0"/>
                <w:sz w:val="24"/>
                <w:szCs w:val="24"/>
                <w:lang w:eastAsia="zh-CN"/>
              </w:rPr>
              <w:t>50</w:t>
            </w:r>
            <w:r>
              <w:rPr>
                <w:rFonts w:ascii="楷体" w:hAnsi="楷体" w:eastAsia="楷体" w:cs="楷体"/>
                <w:snapToGrid w:val="0"/>
                <w:color w:val="auto"/>
                <w:spacing w:val="0"/>
                <w:sz w:val="24"/>
                <w:szCs w:val="24"/>
                <w:lang w:eastAsia="zh-CN"/>
              </w:rPr>
              <w:t>个省级职业院校劳动教育实践基地。</w:t>
            </w:r>
          </w:p>
        </w:tc>
      </w:tr>
      <w:tr>
        <w:tblPrEx>
          <w:tblCellMar>
            <w:top w:w="0" w:type="dxa"/>
            <w:left w:w="0" w:type="dxa"/>
            <w:bottom w:w="0" w:type="dxa"/>
            <w:right w:w="0" w:type="dxa"/>
          </w:tblCellMar>
        </w:tblPrEx>
        <w:trPr>
          <w:trHeight w:val="1311" w:hRule="exact"/>
        </w:trPr>
        <w:tc>
          <w:tcPr>
            <w:tcW w:w="1844" w:type="dxa"/>
            <w:tcBorders>
              <w:top w:val="single" w:color="auto" w:sz="4" w:space="0"/>
              <w:left w:val="single" w:color="auto" w:sz="4" w:space="0"/>
              <w:bottom w:val="single" w:color="auto" w:sz="4" w:space="0"/>
              <w:right w:val="single" w:color="auto" w:sz="4" w:space="0"/>
            </w:tcBorders>
          </w:tcPr>
          <w:p>
            <w:pPr>
              <w:pStyle w:val="35"/>
              <w:keepNext w:val="0"/>
              <w:keepLines w:val="0"/>
              <w:pageBreakBefore w:val="0"/>
              <w:widowControl w:val="0"/>
              <w:kinsoku/>
              <w:wordWrap/>
              <w:overflowPunct/>
              <w:topLinePunct w:val="0"/>
              <w:autoSpaceDE/>
              <w:autoSpaceDN/>
              <w:bidi w:val="0"/>
              <w:adjustRightInd/>
              <w:snapToGrid/>
              <w:spacing w:line="320" w:lineRule="exact"/>
              <w:textAlignment w:val="auto"/>
              <w:rPr>
                <w:rFonts w:ascii="楷体" w:hAnsi="楷体" w:eastAsia="楷体" w:cs="楷体"/>
                <w:snapToGrid w:val="0"/>
                <w:color w:val="auto"/>
                <w:spacing w:val="0"/>
                <w:sz w:val="24"/>
                <w:szCs w:val="24"/>
                <w:lang w:eastAsia="zh-CN"/>
              </w:rPr>
            </w:pPr>
            <w:r>
              <w:rPr>
                <w:rFonts w:ascii="楷体" w:hAnsi="楷体" w:eastAsia="楷体" w:cs="楷体"/>
                <w:snapToGrid w:val="0"/>
                <w:color w:val="auto"/>
                <w:spacing w:val="0"/>
                <w:sz w:val="24"/>
                <w:szCs w:val="24"/>
                <w:lang w:eastAsia="zh-CN"/>
              </w:rPr>
              <w:t>儿童青少年健康促进工程</w:t>
            </w:r>
          </w:p>
        </w:tc>
        <w:tc>
          <w:tcPr>
            <w:tcW w:w="7087" w:type="dxa"/>
            <w:tcBorders>
              <w:top w:val="single" w:color="auto" w:sz="4" w:space="0"/>
              <w:left w:val="single" w:color="auto" w:sz="4" w:space="0"/>
              <w:bottom w:val="single" w:color="000000" w:sz="4" w:space="0"/>
              <w:right w:val="single" w:color="000000" w:sz="4" w:space="0"/>
            </w:tcBorders>
          </w:tcPr>
          <w:p>
            <w:pPr>
              <w:pStyle w:val="35"/>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ascii="楷体" w:hAnsi="楷体" w:eastAsia="楷体" w:cs="楷体"/>
                <w:snapToGrid w:val="0"/>
                <w:color w:val="auto"/>
                <w:spacing w:val="0"/>
                <w:sz w:val="24"/>
                <w:szCs w:val="24"/>
                <w:lang w:eastAsia="zh-CN"/>
              </w:rPr>
            </w:pPr>
            <w:r>
              <w:rPr>
                <w:rFonts w:ascii="楷体" w:hAnsi="楷体" w:eastAsia="楷体" w:cs="楷体"/>
                <w:snapToGrid w:val="0"/>
                <w:color w:val="auto"/>
                <w:spacing w:val="0"/>
                <w:sz w:val="24"/>
                <w:szCs w:val="24"/>
                <w:lang w:eastAsia="zh-CN"/>
              </w:rPr>
              <w:t>推进中小学健康促进行动和儿童青少年近视防控光明行动，儿童青少年总体近视率每年降低1个百分点以上</w:t>
            </w:r>
            <w:r>
              <w:rPr>
                <w:rFonts w:hint="eastAsia" w:ascii="楷体" w:hAnsi="楷体" w:eastAsia="楷体" w:cs="楷体"/>
                <w:snapToGrid w:val="0"/>
                <w:color w:val="auto"/>
                <w:spacing w:val="0"/>
                <w:sz w:val="24"/>
                <w:szCs w:val="24"/>
                <w:lang w:eastAsia="zh-CN"/>
              </w:rPr>
              <w:t>；</w:t>
            </w:r>
            <w:r>
              <w:rPr>
                <w:rFonts w:ascii="楷体" w:hAnsi="楷体" w:eastAsia="楷体" w:cs="楷体"/>
                <w:snapToGrid w:val="0"/>
                <w:color w:val="auto"/>
                <w:spacing w:val="0"/>
                <w:sz w:val="24"/>
                <w:szCs w:val="24"/>
                <w:lang w:eastAsia="zh-CN"/>
              </w:rPr>
              <w:t>配备专兼职心理健康工作人员的中小学校比例达到</w:t>
            </w:r>
            <w:r>
              <w:rPr>
                <w:rFonts w:hint="eastAsia" w:ascii="楷体" w:hAnsi="楷体" w:eastAsia="楷体" w:cs="楷体"/>
                <w:snapToGrid w:val="0"/>
                <w:color w:val="auto"/>
                <w:spacing w:val="0"/>
                <w:sz w:val="24"/>
                <w:szCs w:val="24"/>
                <w:lang w:val="en-US" w:eastAsia="zh-CN"/>
              </w:rPr>
              <w:t>10</w:t>
            </w:r>
            <w:r>
              <w:rPr>
                <w:rFonts w:ascii="楷体" w:hAnsi="楷体" w:eastAsia="楷体" w:cs="楷体"/>
                <w:snapToGrid w:val="0"/>
                <w:color w:val="auto"/>
                <w:spacing w:val="0"/>
                <w:sz w:val="24"/>
                <w:szCs w:val="24"/>
                <w:lang w:eastAsia="zh-CN"/>
              </w:rPr>
              <w:t>0%；积极提升学校食堂管理效能，实现“互联网+明厨亮灶”食品安全智慧管理监督全覆盖。</w:t>
            </w:r>
          </w:p>
        </w:tc>
      </w:tr>
    </w:tbl>
    <w:p>
      <w:pPr>
        <w:pStyle w:val="4"/>
        <w:pageBreakBefore w:val="0"/>
        <w:widowControl w:val="0"/>
        <w:kinsoku/>
        <w:wordWrap/>
        <w:overflowPunct/>
        <w:topLinePunct w:val="0"/>
        <w:autoSpaceDE/>
        <w:autoSpaceDN/>
        <w:bidi w:val="0"/>
        <w:adjustRightInd/>
        <w:snapToGrid/>
        <w:spacing w:line="520" w:lineRule="exact"/>
        <w:ind w:firstLine="642" w:firstLineChars="200"/>
        <w:textAlignment w:val="auto"/>
        <w:rPr>
          <w:rFonts w:ascii="黑体" w:hAnsi="黑体" w:cs="黑体"/>
          <w:snapToGrid w:val="0"/>
          <w:color w:val="000000" w:themeColor="text1"/>
          <w:spacing w:val="0"/>
          <w:szCs w:val="32"/>
          <w14:textFill>
            <w14:solidFill>
              <w14:schemeClr w14:val="tx1"/>
            </w14:solidFill>
          </w14:textFill>
        </w:rPr>
      </w:pPr>
      <w:bookmarkStart w:id="52" w:name="_Toc12225"/>
      <w:bookmarkStart w:id="53" w:name="_Toc31291"/>
      <w:bookmarkStart w:id="54" w:name="_Toc4518"/>
      <w:r>
        <w:rPr>
          <w:rFonts w:hint="eastAsia" w:ascii="黑体" w:hAnsi="黑体" w:cs="黑体"/>
          <w:snapToGrid w:val="0"/>
          <w:color w:val="000000" w:themeColor="text1"/>
          <w:spacing w:val="0"/>
          <w:szCs w:val="32"/>
          <w14:textFill>
            <w14:solidFill>
              <w14:schemeClr w14:val="tx1"/>
            </w14:solidFill>
          </w14:textFill>
        </w:rPr>
        <w:t>三、推进基本公共教育均等化</w:t>
      </w:r>
      <w:bookmarkEnd w:id="52"/>
      <w:bookmarkEnd w:id="53"/>
      <w:bookmarkEnd w:id="54"/>
    </w:p>
    <w:p>
      <w:pPr>
        <w:pStyle w:val="2"/>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ascii="仿宋_GB2312" w:hAnsi="仿宋_GB2312" w:eastAsia="仿宋_GB2312" w:cs="仿宋_GB2312"/>
          <w:snapToGrid w:val="0"/>
          <w:color w:val="000000" w:themeColor="text1"/>
          <w:spacing w:val="0"/>
          <w:sz w:val="28"/>
          <w:szCs w:val="28"/>
          <w14:textFill>
            <w14:solidFill>
              <w14:schemeClr w14:val="tx1"/>
            </w14:solidFill>
          </w14:textFill>
        </w:rPr>
      </w:pP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坚持基本公共服务的普惠性、保基本、均等化方向，建立健全科学合理的基本公共教育资源均衡配置机制，提高供给能力和水平，逐步缩小区域、城乡、校际差距。深化教育教学改革，大力发展素质教育，让每个孩子都能享有公平而有质量的基本公共教育。</w:t>
      </w:r>
    </w:p>
    <w:p>
      <w:pPr>
        <w:pageBreakBefore w:val="0"/>
        <w:widowControl w:val="0"/>
        <w:kinsoku/>
        <w:wordWrap/>
        <w:overflowPunct/>
        <w:topLinePunct w:val="0"/>
        <w:autoSpaceDE/>
        <w:autoSpaceDN/>
        <w:bidi w:val="0"/>
        <w:adjustRightInd/>
        <w:snapToGrid/>
        <w:spacing w:line="520" w:lineRule="exact"/>
        <w:ind w:firstLine="600" w:firstLineChars="200"/>
        <w:textAlignment w:val="auto"/>
        <w:outlineLvl w:val="1"/>
        <w:rPr>
          <w:rFonts w:ascii="楷体" w:hAnsi="楷体" w:eastAsia="楷体" w:cs="楷体"/>
          <w:bCs/>
          <w:snapToGrid w:val="0"/>
          <w:spacing w:val="0"/>
          <w:sz w:val="30"/>
          <w:szCs w:val="30"/>
        </w:rPr>
      </w:pPr>
      <w:bookmarkStart w:id="55" w:name="_Toc9088"/>
      <w:bookmarkStart w:id="56" w:name="_Toc1881"/>
      <w:r>
        <w:rPr>
          <w:rFonts w:hint="eastAsia" w:ascii="楷体" w:hAnsi="楷体" w:eastAsia="楷体" w:cs="楷体"/>
          <w:bCs/>
          <w:snapToGrid w:val="0"/>
          <w:spacing w:val="0"/>
          <w:sz w:val="30"/>
          <w:szCs w:val="30"/>
        </w:rPr>
        <w:t>（一）扩大优质普惠学前教育资源供给</w:t>
      </w:r>
      <w:bookmarkEnd w:id="55"/>
      <w:bookmarkEnd w:id="56"/>
    </w:p>
    <w:p>
      <w:pPr>
        <w:pStyle w:val="2"/>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snapToGrid w:val="0"/>
          <w:color w:val="000000" w:themeColor="text1"/>
          <w:spacing w:val="0"/>
          <w:sz w:val="28"/>
          <w:szCs w:val="28"/>
          <w14:textFill>
            <w14:solidFill>
              <w14:schemeClr w14:val="tx1"/>
            </w14:solidFill>
          </w14:textFill>
        </w:rPr>
      </w:pP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完善学前教育服务体系。实施</w:t>
      </w:r>
      <w:r>
        <w:rPr>
          <w:rFonts w:hint="eastAsia" w:ascii="仿宋_GB2312" w:hAnsi="仿宋_GB2312" w:eastAsia="仿宋_GB2312" w:cs="仿宋_GB2312"/>
          <w:snapToGrid w:val="0"/>
          <w:color w:val="auto"/>
          <w:spacing w:val="0"/>
          <w:sz w:val="28"/>
          <w:szCs w:val="28"/>
          <w:lang w:eastAsia="zh-CN"/>
        </w:rPr>
        <w:t>“十四五”学前教育发展提升行动计划</w:t>
      </w:r>
      <w:r>
        <w:rPr>
          <w:rFonts w:hint="eastAsia" w:ascii="仿宋_GB2312" w:hAnsi="仿宋_GB2312" w:eastAsia="仿宋_GB2312" w:cs="仿宋_GB2312"/>
          <w:snapToGrid w:val="0"/>
          <w:color w:val="auto"/>
          <w:spacing w:val="0"/>
          <w:sz w:val="28"/>
          <w:szCs w:val="28"/>
        </w:rPr>
        <w:t>，</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推动学前教育普惠扩容工程，构建覆盖城乡、布局合理、公益普惠的学前教育公共服务体系。贯彻《驻马店市大力发展学前教育加快普惠性幼儿园建设的意见》，强化市级政府统筹责任，落实县级政府发展学前教育的主体责任。持续开展城镇小区配套幼儿园建设和无证幼儿园治理。严格幼儿园准入管理，依据标准审批设立幼儿园，确保新增幼儿园办园条件达标。完善县、乡、村三级农村学前教育公共服务网络，消除公办乡镇中心幼儿园空白乡镇，确保每个乡镇办好1-2所公办中心幼儿园，带动乡村幼儿园发展。鼓励支持并积极推动街道、村集体、有实力的国有企事业单位、普通高等学校举办公办幼儿园。加强城镇小区配套幼儿园管理，严格落实《驻马店市中小学校幼儿园规划建设条例》规定，新区开发、城市更新以及住宅建设项目需要配套建设幼儿园的，可以委托开发建设单位根据幼儿园专项规划及有关规定予以配套建设，配套建设幼儿园应当与城区居民住宅建设项目同时办理相关审批手续，与居民住宅建设项目同步设计、同步施工、同步验收、同步交付使用。配套幼儿园由当地政府统筹安排，办成公办幼儿园或委托办成普惠性民办幼儿园，不得办成营利性幼儿园。稳步实施民办幼儿园分类管理改革，引导支持民办幼儿园提供有质量的普惠性服务，切实提高民办幼儿园办园水平。推进学前融合教育发展，发挥市级“学前融合教育发展支持中心”的指导作用，总结推广“学前融合教育试点幼儿园”经验,培养一批学前融合教育师资队伍,提升学前融合办学水平。</w:t>
      </w:r>
      <w:r>
        <w:rPr>
          <w:rFonts w:hint="eastAsia" w:ascii="仿宋_GB2312" w:hAnsi="仿宋_GB2312" w:eastAsia="仿宋_GB2312" w:cs="仿宋_GB2312"/>
          <w:snapToGrid w:val="0"/>
          <w:color w:val="auto"/>
          <w:spacing w:val="0"/>
          <w:sz w:val="28"/>
          <w:szCs w:val="28"/>
        </w:rPr>
        <w:t>承办好全国学前融合教育论坛。</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进一步完善普惠性学前教育保障机制，全面落实省定公办园生均综合财政拨款和普惠性民办园奖补政策，动态调整公办园和普惠性民办园收费标准。</w:t>
      </w:r>
    </w:p>
    <w:p>
      <w:pPr>
        <w:pStyle w:val="2"/>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snapToGrid w:val="0"/>
          <w:color w:val="000000" w:themeColor="text1"/>
          <w:spacing w:val="0"/>
          <w:sz w:val="28"/>
          <w:szCs w:val="28"/>
          <w14:textFill>
            <w14:solidFill>
              <w14:schemeClr w14:val="tx1"/>
            </w14:solidFill>
          </w14:textFill>
        </w:rPr>
      </w:pP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提升学前教育保教质量。实施幼儿园保教质量规范与提升工程，坚持以游戏为基本活动，推进科学保教，扭转和治理“小学化”倾向，促进幼儿在生活中学习，在游戏中成长。实施幼小衔接行动计划，推进幼儿园</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和</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小学实施入学准备</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及</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入学适应教育，实现幼小双向、科学、有效衔接。加强园舍条件改善，重视活动环境创设，丰富玩教具、图书配置。落实幼儿园教职工配备标准，逐步解决公办园教职工编制问题。完善学前教育教研体系，在教研部门明确学前教育教研员，落实教研指导责任区制度；依托城市优质幼儿园和农村乡镇公办中心幼儿园建立城乡学前教育资源中心，统筹做好区域内各类幼儿园的教研和业务指导。规范办园行为，建立全覆盖的安全风险防控体系。</w:t>
      </w:r>
    </w:p>
    <w:p>
      <w:pPr>
        <w:pageBreakBefore w:val="0"/>
        <w:widowControl w:val="0"/>
        <w:kinsoku/>
        <w:wordWrap/>
        <w:overflowPunct/>
        <w:topLinePunct w:val="0"/>
        <w:autoSpaceDE/>
        <w:autoSpaceDN/>
        <w:bidi w:val="0"/>
        <w:adjustRightInd/>
        <w:snapToGrid/>
        <w:spacing w:line="520" w:lineRule="exact"/>
        <w:ind w:firstLine="600" w:firstLineChars="200"/>
        <w:textAlignment w:val="auto"/>
        <w:outlineLvl w:val="1"/>
        <w:rPr>
          <w:rFonts w:ascii="楷体" w:hAnsi="楷体" w:eastAsia="楷体" w:cs="楷体"/>
          <w:bCs/>
          <w:snapToGrid w:val="0"/>
          <w:spacing w:val="0"/>
          <w:sz w:val="30"/>
          <w:szCs w:val="30"/>
        </w:rPr>
      </w:pPr>
      <w:bookmarkStart w:id="57" w:name="_Toc8718"/>
      <w:bookmarkStart w:id="58" w:name="_Toc16005"/>
      <w:r>
        <w:rPr>
          <w:rFonts w:hint="eastAsia" w:ascii="楷体" w:hAnsi="楷体" w:eastAsia="楷体" w:cs="楷体"/>
          <w:bCs/>
          <w:snapToGrid w:val="0"/>
          <w:spacing w:val="0"/>
          <w:sz w:val="30"/>
          <w:szCs w:val="30"/>
        </w:rPr>
        <w:t>（二）推动义务教育优质均衡发展和城乡一体化</w:t>
      </w:r>
      <w:bookmarkEnd w:id="57"/>
      <w:bookmarkEnd w:id="58"/>
    </w:p>
    <w:p>
      <w:pPr>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snapToGrid w:val="0"/>
          <w:color w:val="000000" w:themeColor="text1"/>
          <w:spacing w:val="0"/>
          <w:sz w:val="28"/>
          <w:szCs w:val="28"/>
          <w14:textFill>
            <w14:solidFill>
              <w14:schemeClr w14:val="tx1"/>
            </w14:solidFill>
          </w14:textFill>
        </w:rPr>
      </w:pP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高标准高质量发展义务教育。统筹配置教育资源，全面落实城乡统一的义务教育学校建设标准、教师编制标准、生均公用经费基准定额、基本装备配置标准。优化义务教育</w:t>
      </w:r>
      <w:r>
        <w:rPr>
          <w:rFonts w:hint="eastAsia" w:ascii="仿宋_GB2312" w:hAnsi="仿宋_GB2312" w:eastAsia="仿宋_GB2312" w:cs="仿宋_GB2312"/>
          <w:snapToGrid w:val="0"/>
          <w:spacing w:val="0"/>
          <w:sz w:val="28"/>
          <w:szCs w:val="28"/>
        </w:rPr>
        <w:t>公民办</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结构，确保义务教育学位主要由公办学校和政府购买学位方式提供。</w:t>
      </w:r>
    </w:p>
    <w:p>
      <w:pPr>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snapToGrid w:val="0"/>
          <w:color w:val="000000" w:themeColor="text1"/>
          <w:spacing w:val="0"/>
          <w:sz w:val="28"/>
          <w:szCs w:val="28"/>
          <w14:textFill>
            <w14:solidFill>
              <w14:schemeClr w14:val="tx1"/>
            </w14:solidFill>
          </w14:textFill>
        </w:rPr>
      </w:pP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将义务教育学校建设纳入县区长工程、纳入县区政府目标考核，切实解决好“乡村弱”“城镇挤”问题。合理有序增加学位，基本消除大班额，逐步减小班额标准。推进义务教育薄弱环节改善与能力提升，加强乡镇寄宿制学校建设，按标准配齐配足各类教育装备。改善寄宿制学校食宿条件、文化生活条件。巩固义务教育</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基本</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均衡县创建成果，开展义务教育优质均衡县区创建工作。</w:t>
      </w:r>
    </w:p>
    <w:p>
      <w:pPr>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snapToGrid w:val="0"/>
          <w:color w:val="auto"/>
          <w:spacing w:val="0"/>
          <w:sz w:val="28"/>
          <w:szCs w:val="28"/>
        </w:rPr>
      </w:pP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加强教育教学管理。健全学校教学管理规程，统筹制定教学计划，严格按照国家课程方案、课程标准和省定课堂教学基本要求实施教学。推动教学改革，坚持因材施教，鼓励教学创新，强化教学过程的实践性和体验性，注重保护学生好奇心、想象力、求知欲，激发学习兴趣，提高学习能力。加强优秀教学成果培育、遴选和推广，建设一批教学改革示范校。支持义务教育学校管理能力提升工程，开展</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省、市</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义务教育标准化管理示范校、特色校的评估认定，“十四五”期间</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推荐</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评估认定省</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市</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级义务教育标准化管理示范校</w:t>
      </w:r>
      <w:r>
        <w:rPr>
          <w:rFonts w:hint="eastAsia" w:ascii="仿宋_GB2312" w:hAnsi="仿宋_GB2312" w:eastAsia="仿宋_GB2312" w:cs="仿宋_GB2312"/>
          <w:snapToGrid w:val="0"/>
          <w:color w:val="000000" w:themeColor="text1"/>
          <w:spacing w:val="0"/>
          <w:sz w:val="28"/>
          <w:szCs w:val="28"/>
          <w:lang w:val="en-US" w:eastAsia="zh-CN"/>
          <w14:textFill>
            <w14:solidFill>
              <w14:schemeClr w14:val="tx1"/>
            </w14:solidFill>
          </w14:textFill>
        </w:rPr>
        <w:t>50</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所</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特色校</w:t>
      </w:r>
      <w:r>
        <w:rPr>
          <w:rFonts w:hint="eastAsia" w:ascii="仿宋_GB2312" w:hAnsi="仿宋_GB2312" w:eastAsia="仿宋_GB2312" w:cs="仿宋_GB2312"/>
          <w:snapToGrid w:val="0"/>
          <w:color w:val="000000" w:themeColor="text1"/>
          <w:spacing w:val="0"/>
          <w:sz w:val="28"/>
          <w:szCs w:val="28"/>
          <w:lang w:val="en-US" w:eastAsia="zh-CN"/>
          <w14:textFill>
            <w14:solidFill>
              <w14:schemeClr w14:val="tx1"/>
            </w14:solidFill>
          </w14:textFill>
        </w:rPr>
        <w:t>100</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所。进一步推进“集团化”等多形式集团化办学改革，</w:t>
      </w:r>
      <w:r>
        <w:rPr>
          <w:rFonts w:hint="eastAsia" w:ascii="仿宋_GB2312" w:hAnsi="仿宋_GB2312" w:eastAsia="仿宋_GB2312" w:cs="仿宋_GB2312"/>
          <w:snapToGrid w:val="0"/>
          <w:color w:val="auto"/>
          <w:spacing w:val="0"/>
          <w:sz w:val="28"/>
          <w:szCs w:val="28"/>
        </w:rPr>
        <w:t>“十四五”期间</w:t>
      </w:r>
      <w:r>
        <w:rPr>
          <w:rFonts w:hint="eastAsia" w:ascii="仿宋_GB2312" w:hAnsi="仿宋_GB2312" w:eastAsia="仿宋_GB2312" w:cs="仿宋_GB2312"/>
          <w:snapToGrid w:val="0"/>
          <w:color w:val="auto"/>
          <w:spacing w:val="0"/>
          <w:sz w:val="28"/>
          <w:szCs w:val="28"/>
          <w:lang w:eastAsia="zh-CN"/>
        </w:rPr>
        <w:t>力争</w:t>
      </w:r>
      <w:r>
        <w:rPr>
          <w:rFonts w:hint="eastAsia" w:ascii="仿宋_GB2312" w:hAnsi="仿宋_GB2312" w:eastAsia="仿宋_GB2312" w:cs="仿宋_GB2312"/>
          <w:snapToGrid w:val="0"/>
          <w:color w:val="auto"/>
          <w:spacing w:val="0"/>
          <w:sz w:val="28"/>
          <w:szCs w:val="28"/>
        </w:rPr>
        <w:t>培育创建10个省级优质特色教育集团，40个市级优质特色教育集团</w:t>
      </w:r>
      <w:r>
        <w:rPr>
          <w:rFonts w:hint="eastAsia" w:ascii="仿宋_GB2312" w:hAnsi="仿宋_GB2312" w:eastAsia="仿宋_GB2312" w:cs="仿宋_GB2312"/>
          <w:snapToGrid w:val="0"/>
          <w:color w:val="auto"/>
          <w:spacing w:val="0"/>
          <w:sz w:val="28"/>
          <w:szCs w:val="28"/>
          <w:lang w:eastAsia="zh-CN"/>
        </w:rPr>
        <w:t>，</w:t>
      </w:r>
      <w:r>
        <w:rPr>
          <w:rFonts w:hint="eastAsia" w:ascii="仿宋_GB2312" w:hAnsi="仿宋_GB2312" w:eastAsia="仿宋_GB2312" w:cs="仿宋_GB2312"/>
          <w:snapToGrid w:val="0"/>
          <w:color w:val="auto"/>
          <w:spacing w:val="0"/>
          <w:sz w:val="28"/>
          <w:szCs w:val="28"/>
        </w:rPr>
        <w:t>让更多的学生享受到优质的教育。全面加强学生日常教育管理工作，实施中小学班主任能力提升工程，开展最美中小学生宣传推介活动，培育“五育并举”典型实验区、实验学校，教育引导学生全面发展、健康成长。构建全覆盖、立体式心理健康教育工作体系，帮助学生提升心理品质、发展健全人格。强化教研支撑作用，完善市、县、校教研体系，创建标准化基础教育教研机构。</w:t>
      </w:r>
    </w:p>
    <w:p>
      <w:pPr>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snapToGrid w:val="0"/>
          <w:color w:val="000000" w:themeColor="text1"/>
          <w:spacing w:val="0"/>
          <w:sz w:val="28"/>
          <w:szCs w:val="28"/>
          <w14:textFill>
            <w14:solidFill>
              <w14:schemeClr w14:val="tx1"/>
            </w14:solidFill>
          </w14:textFill>
        </w:rPr>
      </w:pP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健全控辍保学长效机制。巩固控辍保学成果，坚持依法控辍，提高质量控辍，落实扶贫控辍，强化保障控辍。加强学生失学辍学情况监测，健全家庭经济困难学生、残疾儿童、留守儿童和随迁子女关爱与精准帮扶责任制，完善控辍保学督导机制和考核问责机制，开展农村留守儿童“合力监护、相伴成长”关爱保护专项行动，确保除因身体原因不具备学习条件外的义务教育阶段适龄儿童少年不失学辍学。</w:t>
      </w:r>
    </w:p>
    <w:p>
      <w:pPr>
        <w:pageBreakBefore w:val="0"/>
        <w:widowControl w:val="0"/>
        <w:kinsoku/>
        <w:wordWrap/>
        <w:overflowPunct/>
        <w:topLinePunct w:val="0"/>
        <w:autoSpaceDE/>
        <w:autoSpaceDN/>
        <w:bidi w:val="0"/>
        <w:adjustRightInd/>
        <w:snapToGrid/>
        <w:spacing w:line="520" w:lineRule="exact"/>
        <w:ind w:firstLine="600" w:firstLineChars="200"/>
        <w:textAlignment w:val="auto"/>
        <w:outlineLvl w:val="1"/>
        <w:rPr>
          <w:rFonts w:ascii="楷体" w:hAnsi="楷体" w:eastAsia="楷体" w:cs="楷体"/>
          <w:bCs/>
          <w:snapToGrid w:val="0"/>
          <w:spacing w:val="0"/>
          <w:sz w:val="30"/>
          <w:szCs w:val="30"/>
        </w:rPr>
      </w:pPr>
      <w:bookmarkStart w:id="59" w:name="_Toc22701"/>
      <w:bookmarkStart w:id="60" w:name="_Toc18735"/>
      <w:r>
        <w:rPr>
          <w:rFonts w:hint="eastAsia" w:ascii="楷体" w:hAnsi="楷体" w:eastAsia="楷体" w:cs="楷体"/>
          <w:bCs/>
          <w:snapToGrid w:val="0"/>
          <w:spacing w:val="0"/>
          <w:sz w:val="30"/>
          <w:szCs w:val="30"/>
        </w:rPr>
        <w:t>（三）鼓励高中阶段学校多样化特色发展</w:t>
      </w:r>
      <w:bookmarkEnd w:id="59"/>
      <w:bookmarkEnd w:id="60"/>
    </w:p>
    <w:p>
      <w:pPr>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snapToGrid w:val="0"/>
          <w:color w:val="auto"/>
          <w:spacing w:val="0"/>
          <w:sz w:val="28"/>
          <w:szCs w:val="28"/>
        </w:rPr>
      </w:pP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巩固提升高中阶段教育普及水平。</w:t>
      </w:r>
      <w:r>
        <w:rPr>
          <w:rFonts w:hint="eastAsia" w:ascii="仿宋_GB2312" w:hAnsi="仿宋_GB2312" w:eastAsia="仿宋_GB2312" w:cs="仿宋_GB2312"/>
          <w:snapToGrid w:val="0"/>
          <w:color w:val="auto"/>
          <w:spacing w:val="0"/>
          <w:sz w:val="28"/>
          <w:szCs w:val="28"/>
        </w:rPr>
        <w:t>推进普通高中教育和中等职业教育协调发展，</w:t>
      </w:r>
      <w:r>
        <w:rPr>
          <w:rFonts w:hint="eastAsia" w:ascii="仿宋_GB2312" w:hAnsi="仿宋_GB2312" w:eastAsia="仿宋_GB2312" w:cs="仿宋_GB2312"/>
          <w:snapToGrid w:val="0"/>
          <w:color w:val="auto"/>
          <w:spacing w:val="0"/>
          <w:sz w:val="28"/>
          <w:szCs w:val="28"/>
          <w:lang w:eastAsia="zh-CN"/>
        </w:rPr>
        <w:t>落实</w:t>
      </w:r>
      <w:r>
        <w:rPr>
          <w:rFonts w:hint="eastAsia" w:ascii="仿宋_GB2312" w:hAnsi="仿宋_GB2312" w:eastAsia="仿宋_GB2312" w:cs="仿宋_GB2312"/>
          <w:snapToGrid w:val="0"/>
          <w:color w:val="auto"/>
          <w:spacing w:val="0"/>
          <w:sz w:val="28"/>
          <w:szCs w:val="28"/>
        </w:rPr>
        <w:t>普职比大体相当</w:t>
      </w:r>
      <w:r>
        <w:rPr>
          <w:rFonts w:hint="eastAsia" w:ascii="仿宋_GB2312" w:hAnsi="仿宋_GB2312" w:eastAsia="仿宋_GB2312" w:cs="仿宋_GB2312"/>
          <w:snapToGrid w:val="0"/>
          <w:color w:val="auto"/>
          <w:spacing w:val="0"/>
          <w:sz w:val="28"/>
          <w:szCs w:val="28"/>
          <w:lang w:eastAsia="zh-CN"/>
        </w:rPr>
        <w:t>的要求</w:t>
      </w:r>
      <w:r>
        <w:rPr>
          <w:rFonts w:hint="eastAsia" w:ascii="仿宋_GB2312" w:hAnsi="仿宋_GB2312" w:eastAsia="仿宋_GB2312" w:cs="仿宋_GB2312"/>
          <w:snapToGrid w:val="0"/>
          <w:color w:val="auto"/>
          <w:spacing w:val="0"/>
          <w:sz w:val="28"/>
          <w:szCs w:val="28"/>
        </w:rPr>
        <w:t>。</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继续实施普通高中改造计划，推进普通高中标准化建设，努力消除大班额、超大班额，为新课程改革实施提供保障。重点推动县域普通高中质量提升，创新人才培养模式，引导学校自主特色发展，构建良好育人生态，形成优质化、多元化、特色化普通高中发展格局。</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十四五</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期间，以创建普通高中多样化发展省级示范校、省级示范性教学创新基地、普通高中省级示范学科、</w:t>
      </w:r>
      <w:r>
        <w:rPr>
          <w:rFonts w:hint="eastAsia" w:ascii="仿宋_GB2312" w:hAnsi="仿宋_GB2312" w:eastAsia="仿宋_GB2312" w:cs="仿宋_GB2312"/>
          <w:snapToGrid w:val="0"/>
          <w:color w:val="auto"/>
          <w:spacing w:val="0"/>
          <w:sz w:val="28"/>
          <w:szCs w:val="28"/>
        </w:rPr>
        <w:t>“1256”育人方式改革工程为抓手，</w:t>
      </w:r>
      <w:r>
        <w:rPr>
          <w:rFonts w:hint="eastAsia" w:ascii="仿宋_GB2312" w:hAnsi="仿宋_GB2312" w:eastAsia="仿宋_GB2312" w:cs="仿宋_GB2312"/>
          <w:snapToGrid w:val="0"/>
          <w:color w:val="auto"/>
          <w:spacing w:val="0"/>
          <w:sz w:val="28"/>
          <w:szCs w:val="28"/>
          <w:lang w:eastAsia="zh-CN"/>
        </w:rPr>
        <w:t>对省市级示范性高中实行市县联动，采取“一事一议”、“一校一策”的办法，加强与国内一流普通高中合作交流，做强做优自身品牌，建成一批富有特色的优质普通高中。</w:t>
      </w:r>
      <w:r>
        <w:rPr>
          <w:rFonts w:hint="eastAsia" w:ascii="仿宋_GB2312" w:hAnsi="仿宋_GB2312" w:eastAsia="仿宋_GB2312" w:cs="仿宋_GB2312"/>
          <w:snapToGrid w:val="0"/>
          <w:color w:val="auto"/>
          <w:spacing w:val="0"/>
          <w:sz w:val="28"/>
          <w:szCs w:val="28"/>
        </w:rPr>
        <w:t>重点培育10所普通高中多样化发展省级示范校、15所普通高中多样化发展市级示范校、15个省级示范性教学创新基地、50个普通高中省级示范学科。</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Cs/>
          <w:snapToGrid w:val="0"/>
          <w:spacing w:val="0"/>
          <w:sz w:val="28"/>
          <w:szCs w:val="28"/>
          <w:lang w:eastAsia="zh-CN"/>
        </w:rPr>
      </w:pP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推动普通高中育人方式改革。统筹推进普通高中新课程改革和高考综合改革，制定普通高中课程设置方案，开设丰富多彩的特色课程</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积极应对高考综合改革，在依据国家规定标准完成教职工配备的基础上，按不低于10%的比例增配走班教学所需教师，为高考综合改革选课走班创造条件。由教育部门牵头制定《关于全面提升普通高中教育办学水平的实施方案》，深化课堂教学改革，积极探索基于情境、问题导向的互动式、启发式、探究式、体验式等课堂教学，注重加强课题研究、项目设计、研究性学习等跨学科综合性教学，着力培养适应学生终身发展和社会发展需要的正确价值观念、必备品格和关键能力。重视回应社会、家长、学生对高考的关切，加强与名校名师合作，实施精准性教学，全面提升培优水平。</w:t>
      </w:r>
      <w:r>
        <w:rPr>
          <w:rFonts w:hint="eastAsia" w:ascii="仿宋_GB2312" w:hAnsi="仿宋_GB2312" w:eastAsia="仿宋_GB2312" w:cs="仿宋_GB2312"/>
          <w:bCs/>
          <w:snapToGrid w:val="0"/>
          <w:spacing w:val="0"/>
          <w:sz w:val="28"/>
          <w:szCs w:val="28"/>
        </w:rPr>
        <w:t>完善普通高中教学质量奖惩机制</w:t>
      </w:r>
      <w:r>
        <w:rPr>
          <w:rFonts w:hint="eastAsia" w:ascii="仿宋_GB2312" w:hAnsi="仿宋_GB2312" w:eastAsia="仿宋_GB2312" w:cs="仿宋_GB2312"/>
          <w:bCs/>
          <w:snapToGrid w:val="0"/>
          <w:spacing w:val="0"/>
          <w:sz w:val="28"/>
          <w:szCs w:val="28"/>
          <w:lang w:eastAsia="zh-CN"/>
        </w:rPr>
        <w:t>，</w:t>
      </w:r>
      <w:r>
        <w:rPr>
          <w:rFonts w:hint="eastAsia" w:ascii="仿宋_GB2312" w:hAnsi="仿宋_GB2312" w:eastAsia="仿宋_GB2312" w:cs="仿宋_GB2312"/>
          <w:bCs/>
          <w:snapToGrid w:val="0"/>
          <w:spacing w:val="0"/>
          <w:sz w:val="28"/>
          <w:szCs w:val="28"/>
        </w:rPr>
        <w:t>根据市、县区财政管理、教育综合改革的需要，对教学质量先进单位和个人进行奖励和激励</w:t>
      </w:r>
      <w:r>
        <w:rPr>
          <w:rFonts w:hint="eastAsia" w:ascii="仿宋_GB2312" w:hAnsi="仿宋_GB2312" w:eastAsia="仿宋_GB2312" w:cs="仿宋_GB2312"/>
          <w:bCs/>
          <w:snapToGrid w:val="0"/>
          <w:spacing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1"/>
        <w:rPr>
          <w:rFonts w:hint="eastAsia" w:ascii="仿宋_GB2312" w:hAnsi="仿宋_GB2312" w:eastAsia="仿宋_GB2312" w:cs="仿宋_GB2312"/>
          <w:b w:val="0"/>
          <w:bCs w:val="0"/>
          <w:snapToGrid w:val="0"/>
          <w:color w:val="auto"/>
          <w:spacing w:val="0"/>
          <w:sz w:val="28"/>
          <w:szCs w:val="28"/>
        </w:rPr>
      </w:pPr>
      <w:bookmarkStart w:id="61" w:name="_Toc30146"/>
      <w:bookmarkStart w:id="62" w:name="_Toc29115"/>
      <w:r>
        <w:rPr>
          <w:rFonts w:hint="eastAsia" w:ascii="仿宋_GB2312" w:hAnsi="仿宋_GB2312" w:eastAsia="仿宋_GB2312" w:cs="仿宋_GB2312"/>
          <w:b w:val="0"/>
          <w:bCs w:val="0"/>
          <w:snapToGrid w:val="0"/>
          <w:color w:val="auto"/>
          <w:spacing w:val="0"/>
          <w:sz w:val="28"/>
          <w:szCs w:val="28"/>
        </w:rPr>
        <w:t>促进普职融通</w:t>
      </w:r>
      <w:r>
        <w:rPr>
          <w:rFonts w:hint="eastAsia" w:ascii="仿宋_GB2312" w:hAnsi="仿宋_GB2312" w:eastAsia="仿宋_GB2312" w:cs="仿宋_GB2312"/>
          <w:b w:val="0"/>
          <w:bCs w:val="0"/>
          <w:snapToGrid w:val="0"/>
          <w:color w:val="auto"/>
          <w:spacing w:val="0"/>
          <w:sz w:val="28"/>
          <w:szCs w:val="28"/>
          <w:lang w:val="en-US" w:eastAsia="zh-CN"/>
        </w:rPr>
        <w:t>发展。</w:t>
      </w:r>
      <w:r>
        <w:rPr>
          <w:rFonts w:hint="eastAsia" w:ascii="仿宋_GB2312" w:hAnsi="仿宋_GB2312" w:eastAsia="仿宋_GB2312" w:cs="仿宋_GB2312"/>
          <w:b w:val="0"/>
          <w:bCs w:val="0"/>
          <w:snapToGrid w:val="0"/>
          <w:color w:val="auto"/>
          <w:spacing w:val="0"/>
          <w:sz w:val="28"/>
          <w:szCs w:val="28"/>
          <w:lang w:eastAsia="zh-CN"/>
        </w:rPr>
        <w:t>大力贯彻新修订的《职业教育法》，鼓励和支持普通中小学</w:t>
      </w:r>
      <w:r>
        <w:rPr>
          <w:rFonts w:hint="eastAsia" w:ascii="仿宋_GB2312" w:hAnsi="仿宋_GB2312" w:eastAsia="仿宋_GB2312" w:cs="仿宋_GB2312"/>
          <w:b w:val="0"/>
          <w:bCs w:val="0"/>
          <w:snapToGrid w:val="0"/>
          <w:color w:val="auto"/>
          <w:spacing w:val="0"/>
          <w:sz w:val="28"/>
          <w:szCs w:val="28"/>
          <w:lang w:val="en-US" w:eastAsia="zh-CN"/>
        </w:rPr>
        <w:t>校</w:t>
      </w:r>
      <w:r>
        <w:rPr>
          <w:rFonts w:hint="eastAsia" w:ascii="仿宋_GB2312" w:hAnsi="仿宋_GB2312" w:eastAsia="仿宋_GB2312" w:cs="仿宋_GB2312"/>
          <w:b w:val="0"/>
          <w:bCs w:val="0"/>
          <w:snapToGrid w:val="0"/>
          <w:color w:val="auto"/>
          <w:spacing w:val="0"/>
          <w:sz w:val="28"/>
          <w:szCs w:val="28"/>
          <w:lang w:eastAsia="zh-CN"/>
        </w:rPr>
        <w:t>根据实际需要增加职业教育相关教学内容，进行职业启蒙、职业认知、职业体验，开展职业规划指导、劳动教育，并组织、引导职业学校、职业培训机构、企业和行业组织等提供条件和支持。</w:t>
      </w:r>
      <w:r>
        <w:rPr>
          <w:rFonts w:hint="eastAsia" w:ascii="仿宋_GB2312" w:hAnsi="仿宋_GB2312" w:eastAsia="仿宋_GB2312" w:cs="仿宋_GB2312"/>
          <w:b w:val="0"/>
          <w:bCs w:val="0"/>
          <w:snapToGrid w:val="0"/>
          <w:color w:val="auto"/>
          <w:spacing w:val="0"/>
          <w:sz w:val="28"/>
          <w:szCs w:val="28"/>
        </w:rPr>
        <w:t>鼓励普通高中与中等职业学校课程互选、学分互认、资源互通</w:t>
      </w:r>
      <w:r>
        <w:rPr>
          <w:rFonts w:hint="eastAsia" w:ascii="仿宋_GB2312" w:hAnsi="仿宋_GB2312" w:eastAsia="仿宋_GB2312" w:cs="仿宋_GB2312"/>
          <w:b w:val="0"/>
          <w:bCs w:val="0"/>
          <w:snapToGrid w:val="0"/>
          <w:color w:val="auto"/>
          <w:spacing w:val="0"/>
          <w:sz w:val="28"/>
          <w:szCs w:val="28"/>
          <w:lang w:eastAsia="zh-CN"/>
        </w:rPr>
        <w:t>，</w:t>
      </w:r>
      <w:r>
        <w:rPr>
          <w:rFonts w:hint="eastAsia" w:ascii="仿宋_GB2312" w:hAnsi="仿宋_GB2312" w:eastAsia="仿宋_GB2312" w:cs="仿宋_GB2312"/>
          <w:b w:val="0"/>
          <w:bCs w:val="0"/>
          <w:snapToGrid w:val="0"/>
          <w:color w:val="auto"/>
          <w:spacing w:val="0"/>
          <w:sz w:val="28"/>
          <w:szCs w:val="28"/>
          <w:lang w:val="en-US" w:eastAsia="zh-CN"/>
        </w:rPr>
        <w:t>促进普通教育与职业教育的学习成果融通、互认</w:t>
      </w:r>
      <w:r>
        <w:rPr>
          <w:rFonts w:hint="eastAsia" w:ascii="仿宋_GB2312" w:hAnsi="仿宋_GB2312" w:eastAsia="仿宋_GB2312" w:cs="仿宋_GB2312"/>
          <w:b w:val="0"/>
          <w:bCs w:val="0"/>
          <w:snapToGrid w:val="0"/>
          <w:color w:val="auto"/>
          <w:spacing w:val="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1"/>
        <w:rPr>
          <w:rFonts w:ascii="楷体" w:hAnsi="楷体" w:eastAsia="楷体" w:cs="楷体"/>
          <w:bCs/>
          <w:snapToGrid w:val="0"/>
          <w:spacing w:val="0"/>
          <w:sz w:val="30"/>
          <w:szCs w:val="30"/>
        </w:rPr>
      </w:pPr>
      <w:r>
        <w:rPr>
          <w:rFonts w:hint="eastAsia" w:ascii="楷体" w:hAnsi="楷体" w:eastAsia="楷体" w:cs="楷体"/>
          <w:bCs/>
          <w:snapToGrid w:val="0"/>
          <w:spacing w:val="0"/>
          <w:sz w:val="30"/>
          <w:szCs w:val="30"/>
        </w:rPr>
        <w:t>（四）建立健全特殊教育和专门教育保障机制</w:t>
      </w:r>
      <w:bookmarkEnd w:id="61"/>
      <w:bookmarkEnd w:id="62"/>
      <w:bookmarkStart w:id="63" w:name="_Toc30624"/>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楷体" w:hAnsi="楷体" w:eastAsia="楷体" w:cs="楷体"/>
          <w:bCs/>
          <w:snapToGrid w:val="0"/>
          <w:spacing w:val="0"/>
          <w:sz w:val="30"/>
          <w:szCs w:val="30"/>
        </w:rPr>
      </w:pP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提升特殊教育发展水平。进一步巩固和完善以随班就读为主体，以特殊教育学校为骨干，以送教上门和远程教育为补充的特殊教育保障机制，全面普及残疾儿童义务教育，提高残疾青少年高中阶段教育普及水平，鼓励高等学校招收符合录取标准的残疾学生。加强特殊教育学校能力建设，改善特殊教育办学条件，建立随班就读支持保障体系。推动课程教学改革，落实“一人一案”，坚持分类施教，提高教育教学的针对性。大力推进融合教育，加快发展非义务教育阶段特殊教育。支持职业教育机构加强残疾人职业技能培训，拓宽和完善残疾人终身学习通道。加大投入力度，适当提高非义务教育阶段残疾学生生均财政拨款标准，对所有残疾学生（含在园幼儿）按照省定营养改善计划给予补助。实施普通学校无障碍设施改造计划。加强专门学校建设和专门教育工作，提高对有严重不良行为未成年人的教育矫治水平。</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_GB2312" w:hAnsi="仿宋_GB2312" w:eastAsia="仿宋_GB2312" w:cs="仿宋_GB2312"/>
          <w:snapToGrid w:val="0"/>
          <w:color w:val="000000" w:themeColor="text1"/>
          <w:spacing w:val="0"/>
          <w:sz w:val="28"/>
          <w:szCs w:val="28"/>
          <w14:textFill>
            <w14:solidFill>
              <w14:schemeClr w14:val="tx1"/>
            </w14:solidFill>
          </w14:textFill>
        </w:rPr>
      </w:pP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重视农村留守儿童和困境儿童关爱保护。加强法治教育、安全教育和心理健康教育，优先满足留守儿童寄宿需求。推进随迁子女入学待遇同城化，根据就近入学原则，保障随迁子女平等享受基本公共教育服务。简化优化随迁子女入学程序，完善便民服务举措，将随迁子女与城市学生统一管理、统一编班、统一教学、统一安排活动。定期开展随迁子女教育发展水平监测评估，保障进城务工人员随迁子女平等受教育权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b w:val="0"/>
          <w:bCs w:val="0"/>
          <w:sz w:val="28"/>
          <w:szCs w:val="28"/>
          <w:lang w:eastAsia="zh-CN"/>
        </w:rPr>
        <w:t>着力构建教育装备发展新格局。</w:t>
      </w:r>
      <w:r>
        <w:rPr>
          <w:rFonts w:hint="eastAsia" w:ascii="仿宋_GB2312" w:hAnsi="仿宋_GB2312" w:eastAsia="仿宋_GB2312" w:cs="仿宋_GB2312"/>
          <w:sz w:val="28"/>
          <w:szCs w:val="28"/>
          <w:lang w:eastAsia="zh-CN"/>
        </w:rPr>
        <w:t>准确把握新发展阶段对教育装备的新要求，加快高质量“用、建、配、管、研”教育装备体系、技术体系和人才体系建设。扎实做好教育装备产品质量检测、第三方质量验收及动态监测工作。进一步促进教育装备和教育教学融合创新，切实加强和改进中小学实验教学，持续做好中招理化生实验操作考试工作，组织开展学生小制作小发明、教师自制教具和实验教学技能大赛。深入开展教育装备标准化实验学校建设，扎实开展中小学示范性图书馆创建，推动学校实验室、图书室及功能教室提标升级。</w:t>
      </w:r>
    </w:p>
    <w:p>
      <w:pPr>
        <w:pStyle w:val="2"/>
        <w:rPr>
          <w:rFonts w:hint="eastAsia"/>
        </w:rPr>
      </w:pPr>
    </w:p>
    <w:tbl>
      <w:tblPr>
        <w:tblStyle w:val="34"/>
        <w:tblW w:w="8770" w:type="dxa"/>
        <w:tblInd w:w="-137" w:type="dxa"/>
        <w:tblLayout w:type="fixed"/>
        <w:tblCellMar>
          <w:top w:w="0" w:type="dxa"/>
          <w:left w:w="0" w:type="dxa"/>
          <w:bottom w:w="0" w:type="dxa"/>
          <w:right w:w="0" w:type="dxa"/>
        </w:tblCellMar>
      </w:tblPr>
      <w:tblGrid>
        <w:gridCol w:w="1872"/>
        <w:gridCol w:w="6898"/>
      </w:tblGrid>
      <w:tr>
        <w:tblPrEx>
          <w:tblCellMar>
            <w:top w:w="0" w:type="dxa"/>
            <w:left w:w="0" w:type="dxa"/>
            <w:bottom w:w="0" w:type="dxa"/>
            <w:right w:w="0" w:type="dxa"/>
          </w:tblCellMar>
        </w:tblPrEx>
        <w:trPr>
          <w:trHeight w:val="597" w:hRule="exact"/>
        </w:trPr>
        <w:tc>
          <w:tcPr>
            <w:tcW w:w="8770" w:type="dxa"/>
            <w:gridSpan w:val="2"/>
            <w:tcBorders>
              <w:top w:val="single" w:color="000000" w:sz="4" w:space="0"/>
              <w:left w:val="single" w:color="000000" w:sz="4" w:space="0"/>
              <w:bottom w:val="single" w:color="000000" w:sz="4" w:space="0"/>
              <w:right w:val="single" w:color="000000" w:sz="4" w:space="0"/>
            </w:tcBorders>
          </w:tcPr>
          <w:p>
            <w:pPr>
              <w:pStyle w:val="35"/>
              <w:keepNext w:val="0"/>
              <w:keepLines w:val="0"/>
              <w:pageBreakBefore w:val="0"/>
              <w:widowControl w:val="0"/>
              <w:tabs>
                <w:tab w:val="left" w:pos="2841"/>
              </w:tabs>
              <w:kinsoku/>
              <w:wordWrap/>
              <w:overflowPunct/>
              <w:topLinePunct w:val="0"/>
              <w:autoSpaceDE/>
              <w:autoSpaceDN/>
              <w:bidi w:val="0"/>
              <w:adjustRightInd/>
              <w:snapToGrid/>
              <w:spacing w:before="229" w:line="280" w:lineRule="exact"/>
              <w:ind w:left="1656"/>
              <w:textAlignment w:val="auto"/>
              <w:rPr>
                <w:rFonts w:ascii="微软雅黑" w:hAnsi="微软雅黑" w:eastAsia="微软雅黑" w:cs="微软雅黑"/>
                <w:snapToGrid w:val="0"/>
                <w:spacing w:val="0"/>
                <w:sz w:val="30"/>
                <w:szCs w:val="30"/>
                <w:lang w:eastAsia="zh-CN"/>
              </w:rPr>
            </w:pPr>
            <w:r>
              <w:rPr>
                <w:rFonts w:hint="eastAsia" w:ascii="黑体" w:hAnsi="黑体" w:eastAsia="黑体" w:cs="黑体"/>
                <w:snapToGrid w:val="0"/>
                <w:spacing w:val="0"/>
                <w:sz w:val="32"/>
                <w:szCs w:val="32"/>
                <w:lang w:eastAsia="zh-CN"/>
              </w:rPr>
              <w:t>专栏3</w:t>
            </w:r>
            <w:r>
              <w:rPr>
                <w:rFonts w:hint="eastAsia" w:ascii="黑体" w:hAnsi="黑体" w:eastAsia="黑体" w:cs="黑体"/>
                <w:snapToGrid w:val="0"/>
                <w:spacing w:val="0"/>
                <w:sz w:val="32"/>
                <w:szCs w:val="32"/>
                <w:lang w:eastAsia="zh-CN"/>
              </w:rPr>
              <w:tab/>
            </w:r>
            <w:r>
              <w:rPr>
                <w:rFonts w:hint="eastAsia" w:ascii="黑体" w:hAnsi="黑体" w:eastAsia="黑体" w:cs="黑体"/>
                <w:snapToGrid w:val="0"/>
                <w:spacing w:val="0"/>
                <w:sz w:val="32"/>
                <w:szCs w:val="32"/>
                <w:lang w:eastAsia="zh-CN"/>
              </w:rPr>
              <w:t>基本公共教育均等化推进工程</w:t>
            </w:r>
          </w:p>
        </w:tc>
      </w:tr>
      <w:tr>
        <w:tblPrEx>
          <w:tblCellMar>
            <w:top w:w="0" w:type="dxa"/>
            <w:left w:w="0" w:type="dxa"/>
            <w:bottom w:w="0" w:type="dxa"/>
            <w:right w:w="0" w:type="dxa"/>
          </w:tblCellMar>
        </w:tblPrEx>
        <w:trPr>
          <w:trHeight w:val="990" w:hRule="exact"/>
        </w:trPr>
        <w:tc>
          <w:tcPr>
            <w:tcW w:w="1872" w:type="dxa"/>
            <w:tcBorders>
              <w:top w:val="single" w:color="000000" w:sz="4" w:space="0"/>
              <w:left w:val="single" w:color="000000" w:sz="4" w:space="0"/>
              <w:bottom w:val="single" w:color="000000" w:sz="4" w:space="0"/>
              <w:right w:val="single" w:color="000000" w:sz="4" w:space="0"/>
            </w:tcBorders>
          </w:tcPr>
          <w:p>
            <w:pPr>
              <w:pStyle w:val="35"/>
              <w:keepNext w:val="0"/>
              <w:keepLines w:val="0"/>
              <w:pageBreakBefore w:val="0"/>
              <w:widowControl w:val="0"/>
              <w:kinsoku/>
              <w:wordWrap/>
              <w:overflowPunct/>
              <w:topLinePunct w:val="0"/>
              <w:autoSpaceDE/>
              <w:autoSpaceDN/>
              <w:bidi w:val="0"/>
              <w:adjustRightInd/>
              <w:snapToGrid/>
              <w:spacing w:line="280" w:lineRule="exact"/>
              <w:ind w:left="103" w:right="85" w:rightChars="0"/>
              <w:jc w:val="both"/>
              <w:textAlignment w:val="auto"/>
              <w:rPr>
                <w:rFonts w:ascii="楷体" w:hAnsi="楷体" w:eastAsia="楷体" w:cs="楷体"/>
                <w:snapToGrid w:val="0"/>
                <w:spacing w:val="0"/>
                <w:sz w:val="24"/>
                <w:szCs w:val="24"/>
                <w:lang w:eastAsia="zh-CN"/>
              </w:rPr>
            </w:pPr>
            <w:r>
              <w:rPr>
                <w:rFonts w:ascii="楷体" w:hAnsi="楷体" w:eastAsia="楷体" w:cs="楷体"/>
                <w:snapToGrid w:val="0"/>
                <w:spacing w:val="0"/>
                <w:sz w:val="24"/>
                <w:szCs w:val="24"/>
                <w:lang w:eastAsia="zh-CN"/>
              </w:rPr>
              <w:t>幼儿园保教质量提升工程</w:t>
            </w:r>
          </w:p>
        </w:tc>
        <w:tc>
          <w:tcPr>
            <w:tcW w:w="6898" w:type="dxa"/>
            <w:tcBorders>
              <w:top w:val="single" w:color="000000" w:sz="4" w:space="0"/>
              <w:left w:val="single" w:color="000000" w:sz="4" w:space="0"/>
              <w:bottom w:val="single" w:color="000000" w:sz="4" w:space="0"/>
              <w:right w:val="single" w:color="000000" w:sz="4" w:space="0"/>
            </w:tcBorders>
          </w:tcPr>
          <w:p>
            <w:pPr>
              <w:pStyle w:val="35"/>
              <w:keepNext w:val="0"/>
              <w:keepLines w:val="0"/>
              <w:pageBreakBefore w:val="0"/>
              <w:widowControl w:val="0"/>
              <w:kinsoku/>
              <w:wordWrap/>
              <w:overflowPunct/>
              <w:topLinePunct w:val="0"/>
              <w:autoSpaceDE/>
              <w:autoSpaceDN/>
              <w:bidi w:val="0"/>
              <w:adjustRightInd/>
              <w:snapToGrid/>
              <w:spacing w:before="102" w:line="280" w:lineRule="exact"/>
              <w:ind w:right="127" w:firstLine="480" w:firstLineChars="200"/>
              <w:jc w:val="both"/>
              <w:textAlignment w:val="auto"/>
              <w:rPr>
                <w:rFonts w:ascii="楷体" w:hAnsi="楷体" w:eastAsia="楷体" w:cs="楷体"/>
                <w:snapToGrid w:val="0"/>
                <w:spacing w:val="0"/>
                <w:sz w:val="24"/>
                <w:szCs w:val="24"/>
                <w:lang w:eastAsia="zh-CN"/>
              </w:rPr>
            </w:pPr>
            <w:r>
              <w:rPr>
                <w:rFonts w:ascii="楷体" w:hAnsi="楷体" w:eastAsia="楷体" w:cs="楷体"/>
                <w:snapToGrid w:val="0"/>
                <w:spacing w:val="0"/>
                <w:sz w:val="24"/>
                <w:szCs w:val="24"/>
                <w:lang w:eastAsia="zh-CN"/>
              </w:rPr>
              <w:t>实施幼小科学衔接攻坚行动，推进幼儿园和小学实施入学准备和入学适应教育。组织市级示范园与薄弱园结对帮扶。完善幼儿园质量评估标准，推进科学保教。</w:t>
            </w:r>
          </w:p>
        </w:tc>
      </w:tr>
      <w:tr>
        <w:tblPrEx>
          <w:tblCellMar>
            <w:top w:w="0" w:type="dxa"/>
            <w:left w:w="0" w:type="dxa"/>
            <w:bottom w:w="0" w:type="dxa"/>
            <w:right w:w="0" w:type="dxa"/>
          </w:tblCellMar>
        </w:tblPrEx>
        <w:trPr>
          <w:trHeight w:val="885" w:hRule="exact"/>
        </w:trPr>
        <w:tc>
          <w:tcPr>
            <w:tcW w:w="1872" w:type="dxa"/>
            <w:tcBorders>
              <w:top w:val="single" w:color="000000" w:sz="4" w:space="0"/>
              <w:left w:val="single" w:color="000000" w:sz="4" w:space="0"/>
              <w:bottom w:val="single" w:color="auto" w:sz="4" w:space="0"/>
              <w:right w:val="single" w:color="000000" w:sz="4" w:space="0"/>
            </w:tcBorders>
          </w:tcPr>
          <w:p>
            <w:pPr>
              <w:pStyle w:val="35"/>
              <w:keepNext w:val="0"/>
              <w:keepLines w:val="0"/>
              <w:pageBreakBefore w:val="0"/>
              <w:widowControl w:val="0"/>
              <w:kinsoku/>
              <w:wordWrap/>
              <w:overflowPunct/>
              <w:topLinePunct w:val="0"/>
              <w:autoSpaceDE/>
              <w:autoSpaceDN/>
              <w:bidi w:val="0"/>
              <w:adjustRightInd/>
              <w:snapToGrid/>
              <w:spacing w:line="280" w:lineRule="exact"/>
              <w:ind w:left="103"/>
              <w:textAlignment w:val="auto"/>
              <w:rPr>
                <w:rFonts w:ascii="楷体" w:hAnsi="楷体" w:eastAsia="楷体" w:cs="楷体"/>
                <w:snapToGrid w:val="0"/>
                <w:spacing w:val="0"/>
                <w:sz w:val="24"/>
                <w:szCs w:val="24"/>
                <w:lang w:eastAsia="zh-CN"/>
              </w:rPr>
            </w:pPr>
            <w:r>
              <w:rPr>
                <w:rFonts w:ascii="楷体" w:hAnsi="楷体" w:eastAsia="楷体" w:cs="楷体"/>
                <w:snapToGrid w:val="0"/>
                <w:spacing w:val="0"/>
                <w:sz w:val="24"/>
                <w:szCs w:val="24"/>
                <w:lang w:eastAsia="zh-CN"/>
              </w:rPr>
              <w:t>义务教育学校薄弱环节改善与能力提升工程</w:t>
            </w:r>
          </w:p>
        </w:tc>
        <w:tc>
          <w:tcPr>
            <w:tcW w:w="6898" w:type="dxa"/>
            <w:tcBorders>
              <w:top w:val="single" w:color="000000" w:sz="4" w:space="0"/>
              <w:left w:val="single" w:color="000000" w:sz="4" w:space="0"/>
              <w:bottom w:val="single" w:color="000000" w:sz="4" w:space="0"/>
              <w:right w:val="single" w:color="000000" w:sz="4" w:space="0"/>
            </w:tcBorders>
          </w:tcPr>
          <w:p>
            <w:pPr>
              <w:pStyle w:val="35"/>
              <w:keepNext w:val="0"/>
              <w:keepLines w:val="0"/>
              <w:pageBreakBefore w:val="0"/>
              <w:widowControl w:val="0"/>
              <w:kinsoku/>
              <w:wordWrap/>
              <w:overflowPunct/>
              <w:topLinePunct w:val="0"/>
              <w:autoSpaceDE/>
              <w:autoSpaceDN/>
              <w:bidi w:val="0"/>
              <w:adjustRightInd/>
              <w:snapToGrid/>
              <w:spacing w:line="280" w:lineRule="exact"/>
              <w:ind w:left="103" w:firstLine="480" w:firstLineChars="200"/>
              <w:jc w:val="both"/>
              <w:textAlignment w:val="auto"/>
              <w:rPr>
                <w:rFonts w:ascii="楷体" w:hAnsi="楷体" w:eastAsia="楷体" w:cs="楷体"/>
                <w:snapToGrid w:val="0"/>
                <w:spacing w:val="0"/>
                <w:sz w:val="24"/>
                <w:szCs w:val="24"/>
                <w:lang w:eastAsia="zh-CN"/>
              </w:rPr>
            </w:pPr>
            <w:r>
              <w:rPr>
                <w:rFonts w:ascii="楷体" w:hAnsi="楷体" w:eastAsia="楷体" w:cs="楷体"/>
                <w:snapToGrid w:val="0"/>
                <w:spacing w:val="0"/>
                <w:sz w:val="24"/>
                <w:szCs w:val="24"/>
                <w:lang w:eastAsia="zh-CN"/>
              </w:rPr>
              <w:t>编制</w:t>
            </w:r>
            <w:r>
              <w:rPr>
                <w:rFonts w:hint="eastAsia" w:ascii="楷体" w:hAnsi="楷体" w:eastAsia="楷体" w:cs="楷体"/>
                <w:snapToGrid w:val="0"/>
                <w:spacing w:val="0"/>
                <w:sz w:val="24"/>
                <w:szCs w:val="24"/>
                <w:lang w:eastAsia="zh-CN"/>
              </w:rPr>
              <w:t>《</w:t>
            </w:r>
            <w:r>
              <w:rPr>
                <w:rFonts w:ascii="楷体" w:hAnsi="楷体" w:eastAsia="楷体" w:cs="楷体"/>
                <w:snapToGrid w:val="0"/>
                <w:spacing w:val="0"/>
                <w:sz w:val="24"/>
                <w:szCs w:val="24"/>
                <w:lang w:eastAsia="zh-CN"/>
              </w:rPr>
              <w:t>义务教育薄弱环节改善与能力提升项目规划（2021—2025）</w:t>
            </w:r>
            <w:r>
              <w:rPr>
                <w:rFonts w:hint="eastAsia" w:ascii="楷体" w:hAnsi="楷体" w:eastAsia="楷体" w:cs="楷体"/>
                <w:snapToGrid w:val="0"/>
                <w:spacing w:val="0"/>
                <w:sz w:val="24"/>
                <w:szCs w:val="24"/>
                <w:lang w:eastAsia="zh-CN"/>
              </w:rPr>
              <w:t>》</w:t>
            </w:r>
            <w:r>
              <w:rPr>
                <w:rFonts w:ascii="楷体" w:hAnsi="楷体" w:eastAsia="楷体" w:cs="楷体"/>
                <w:snapToGrid w:val="0"/>
                <w:spacing w:val="0"/>
                <w:sz w:val="24"/>
                <w:szCs w:val="24"/>
                <w:lang w:eastAsia="zh-CN"/>
              </w:rPr>
              <w:t>，统筹相关资金和项目，持续改善农村学校基本办学条件，有序扩大城镇学校学位供给，不断提升办学能力。</w:t>
            </w:r>
          </w:p>
        </w:tc>
      </w:tr>
      <w:tr>
        <w:tblPrEx>
          <w:tblCellMar>
            <w:top w:w="0" w:type="dxa"/>
            <w:left w:w="0" w:type="dxa"/>
            <w:bottom w:w="0" w:type="dxa"/>
            <w:right w:w="0" w:type="dxa"/>
          </w:tblCellMar>
        </w:tblPrEx>
        <w:trPr>
          <w:trHeight w:val="1439" w:hRule="exact"/>
        </w:trPr>
        <w:tc>
          <w:tcPr>
            <w:tcW w:w="1872" w:type="dxa"/>
            <w:tcBorders>
              <w:top w:val="single" w:color="auto" w:sz="4" w:space="0"/>
              <w:left w:val="single" w:color="000000" w:sz="4" w:space="0"/>
              <w:bottom w:val="single" w:color="000000" w:sz="4" w:space="0"/>
              <w:right w:val="single" w:color="000000" w:sz="4" w:space="0"/>
            </w:tcBorders>
          </w:tcPr>
          <w:p>
            <w:pPr>
              <w:pStyle w:val="35"/>
              <w:keepNext w:val="0"/>
              <w:keepLines w:val="0"/>
              <w:pageBreakBefore w:val="0"/>
              <w:widowControl w:val="0"/>
              <w:kinsoku/>
              <w:wordWrap/>
              <w:overflowPunct/>
              <w:topLinePunct w:val="0"/>
              <w:autoSpaceDE/>
              <w:autoSpaceDN/>
              <w:bidi w:val="0"/>
              <w:adjustRightInd/>
              <w:snapToGrid/>
              <w:spacing w:before="246" w:line="280" w:lineRule="exact"/>
              <w:textAlignment w:val="auto"/>
              <w:rPr>
                <w:rFonts w:ascii="楷体" w:hAnsi="楷体" w:eastAsia="楷体" w:cs="楷体"/>
                <w:snapToGrid w:val="0"/>
                <w:spacing w:val="0"/>
                <w:sz w:val="24"/>
                <w:szCs w:val="24"/>
                <w:lang w:eastAsia="zh-CN"/>
              </w:rPr>
            </w:pPr>
            <w:r>
              <w:rPr>
                <w:rFonts w:ascii="楷体" w:hAnsi="楷体" w:eastAsia="楷体" w:cs="楷体"/>
                <w:snapToGrid w:val="0"/>
                <w:spacing w:val="0"/>
                <w:sz w:val="24"/>
                <w:szCs w:val="24"/>
                <w:lang w:eastAsia="zh-CN"/>
              </w:rPr>
              <w:t>义务教育学校内涵提升计划</w:t>
            </w:r>
          </w:p>
        </w:tc>
        <w:tc>
          <w:tcPr>
            <w:tcW w:w="6898" w:type="dxa"/>
            <w:tcBorders>
              <w:top w:val="single" w:color="000000" w:sz="4" w:space="0"/>
              <w:left w:val="single" w:color="000000" w:sz="4" w:space="0"/>
              <w:bottom w:val="single" w:color="000000" w:sz="4" w:space="0"/>
              <w:right w:val="single" w:color="000000" w:sz="4" w:space="0"/>
            </w:tcBorders>
          </w:tcPr>
          <w:p>
            <w:pPr>
              <w:pStyle w:val="35"/>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ascii="楷体" w:hAnsi="楷体" w:eastAsia="楷体" w:cs="楷体"/>
                <w:snapToGrid w:val="0"/>
                <w:spacing w:val="0"/>
                <w:sz w:val="24"/>
                <w:szCs w:val="24"/>
                <w:lang w:eastAsia="zh-CN"/>
              </w:rPr>
            </w:pPr>
            <w:r>
              <w:rPr>
                <w:rFonts w:ascii="楷体" w:hAnsi="楷体" w:eastAsia="楷体" w:cs="楷体"/>
                <w:snapToGrid w:val="0"/>
                <w:spacing w:val="0"/>
                <w:sz w:val="24"/>
                <w:szCs w:val="24"/>
                <w:lang w:eastAsia="zh-CN"/>
              </w:rPr>
              <w:t>推进中小学班主任素养提升工程，开展班主任能力提升培训、优秀班主任评选等活动，建立班主任成长支持体系。实施义务教育学校管理能力提升工程，创建省</w:t>
            </w:r>
            <w:r>
              <w:rPr>
                <w:rFonts w:hint="eastAsia" w:ascii="楷体" w:hAnsi="楷体" w:eastAsia="楷体" w:cs="楷体"/>
                <w:snapToGrid w:val="0"/>
                <w:spacing w:val="0"/>
                <w:sz w:val="24"/>
                <w:szCs w:val="24"/>
                <w:lang w:eastAsia="zh-CN"/>
              </w:rPr>
              <w:t>市</w:t>
            </w:r>
            <w:r>
              <w:rPr>
                <w:rFonts w:ascii="楷体" w:hAnsi="楷体" w:eastAsia="楷体" w:cs="楷体"/>
                <w:snapToGrid w:val="0"/>
                <w:spacing w:val="0"/>
                <w:sz w:val="24"/>
                <w:szCs w:val="24"/>
                <w:lang w:eastAsia="zh-CN"/>
              </w:rPr>
              <w:t>级义务教育标准化管理示范校</w:t>
            </w:r>
            <w:r>
              <w:rPr>
                <w:rFonts w:hint="eastAsia" w:ascii="楷体" w:hAnsi="楷体" w:eastAsia="楷体" w:cs="楷体"/>
                <w:snapToGrid w:val="0"/>
                <w:spacing w:val="0"/>
                <w:sz w:val="24"/>
                <w:szCs w:val="24"/>
                <w:lang w:val="en-US" w:eastAsia="zh-CN"/>
              </w:rPr>
              <w:t>5</w:t>
            </w:r>
            <w:r>
              <w:rPr>
                <w:rFonts w:hint="eastAsia" w:ascii="楷体" w:hAnsi="楷体" w:eastAsia="楷体" w:cs="楷体"/>
                <w:snapToGrid w:val="0"/>
                <w:spacing w:val="0"/>
                <w:sz w:val="24"/>
                <w:szCs w:val="24"/>
                <w:lang w:eastAsia="zh-CN"/>
              </w:rPr>
              <w:t>0</w:t>
            </w:r>
            <w:r>
              <w:rPr>
                <w:rFonts w:ascii="楷体" w:hAnsi="楷体" w:eastAsia="楷体" w:cs="楷体"/>
                <w:snapToGrid w:val="0"/>
                <w:spacing w:val="0"/>
                <w:sz w:val="24"/>
                <w:szCs w:val="24"/>
                <w:lang w:eastAsia="zh-CN"/>
              </w:rPr>
              <w:t>所、特色校</w:t>
            </w:r>
            <w:r>
              <w:rPr>
                <w:rFonts w:hint="eastAsia" w:ascii="楷体" w:hAnsi="楷体" w:eastAsia="楷体" w:cs="楷体"/>
                <w:snapToGrid w:val="0"/>
                <w:spacing w:val="0"/>
                <w:sz w:val="24"/>
                <w:szCs w:val="24"/>
                <w:lang w:val="en-US" w:eastAsia="zh-CN"/>
              </w:rPr>
              <w:t>10</w:t>
            </w:r>
            <w:r>
              <w:rPr>
                <w:rFonts w:hint="eastAsia" w:ascii="楷体" w:hAnsi="楷体" w:eastAsia="楷体" w:cs="楷体"/>
                <w:snapToGrid w:val="0"/>
                <w:spacing w:val="0"/>
                <w:sz w:val="24"/>
                <w:szCs w:val="24"/>
                <w:lang w:eastAsia="zh-CN"/>
              </w:rPr>
              <w:t>0所。实施中小学教学质量提升工程，培育一批优秀教学成果，建设一批教学改革示范校。</w:t>
            </w:r>
          </w:p>
        </w:tc>
      </w:tr>
      <w:tr>
        <w:tblPrEx>
          <w:tblCellMar>
            <w:top w:w="0" w:type="dxa"/>
            <w:left w:w="0" w:type="dxa"/>
            <w:bottom w:w="0" w:type="dxa"/>
            <w:right w:w="0" w:type="dxa"/>
          </w:tblCellMar>
        </w:tblPrEx>
        <w:trPr>
          <w:trHeight w:val="1137" w:hRule="exact"/>
        </w:trPr>
        <w:tc>
          <w:tcPr>
            <w:tcW w:w="1872" w:type="dxa"/>
            <w:tcBorders>
              <w:top w:val="single" w:color="000000" w:sz="4" w:space="0"/>
              <w:left w:val="single" w:color="000000" w:sz="4" w:space="0"/>
              <w:bottom w:val="single" w:color="000000" w:sz="4" w:space="0"/>
              <w:right w:val="single" w:color="000000" w:sz="4" w:space="0"/>
            </w:tcBorders>
          </w:tcPr>
          <w:p>
            <w:pPr>
              <w:pStyle w:val="35"/>
              <w:keepNext w:val="0"/>
              <w:keepLines w:val="0"/>
              <w:pageBreakBefore w:val="0"/>
              <w:widowControl w:val="0"/>
              <w:kinsoku/>
              <w:wordWrap/>
              <w:overflowPunct/>
              <w:topLinePunct w:val="0"/>
              <w:autoSpaceDE/>
              <w:autoSpaceDN/>
              <w:bidi w:val="0"/>
              <w:adjustRightInd/>
              <w:snapToGrid/>
              <w:spacing w:line="280" w:lineRule="exact"/>
              <w:ind w:left="103"/>
              <w:jc w:val="both"/>
              <w:textAlignment w:val="auto"/>
              <w:rPr>
                <w:rFonts w:ascii="楷体" w:hAnsi="楷体" w:eastAsia="楷体" w:cs="楷体"/>
                <w:snapToGrid w:val="0"/>
                <w:spacing w:val="0"/>
                <w:sz w:val="24"/>
                <w:szCs w:val="24"/>
                <w:lang w:eastAsia="zh-CN"/>
              </w:rPr>
            </w:pPr>
            <w:r>
              <w:rPr>
                <w:rFonts w:ascii="楷体" w:hAnsi="楷体" w:eastAsia="楷体" w:cs="楷体"/>
                <w:snapToGrid w:val="0"/>
                <w:spacing w:val="0"/>
                <w:sz w:val="24"/>
                <w:szCs w:val="24"/>
                <w:lang w:eastAsia="zh-CN"/>
              </w:rPr>
              <w:t>研学实践教育“五个一”精品工程</w:t>
            </w:r>
          </w:p>
        </w:tc>
        <w:tc>
          <w:tcPr>
            <w:tcW w:w="6898" w:type="dxa"/>
            <w:tcBorders>
              <w:top w:val="single" w:color="000000" w:sz="4" w:space="0"/>
              <w:left w:val="single" w:color="000000" w:sz="4" w:space="0"/>
              <w:bottom w:val="single" w:color="000000" w:sz="4" w:space="0"/>
              <w:right w:val="single" w:color="000000" w:sz="4" w:space="0"/>
            </w:tcBorders>
          </w:tcPr>
          <w:p>
            <w:pPr>
              <w:pStyle w:val="35"/>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ascii="楷体" w:hAnsi="楷体" w:eastAsia="楷体" w:cs="楷体"/>
                <w:snapToGrid w:val="0"/>
                <w:spacing w:val="0"/>
                <w:sz w:val="24"/>
                <w:szCs w:val="24"/>
                <w:lang w:eastAsia="zh-CN"/>
              </w:rPr>
            </w:pPr>
            <w:r>
              <w:rPr>
                <w:rFonts w:ascii="楷体" w:hAnsi="楷体" w:eastAsia="楷体" w:cs="楷体"/>
                <w:snapToGrid w:val="0"/>
                <w:spacing w:val="0"/>
                <w:sz w:val="24"/>
                <w:szCs w:val="24"/>
                <w:lang w:eastAsia="zh-CN"/>
              </w:rPr>
              <w:t>开展研学旅行实践基地、社会实践教育基地遴选等活动，建设一批各有特色的研学旅行基地，打造一批主题鲜明的研学旅行线路。培养一批专业过硬的研学旅行师资队伍，研发一系列价值丰富的研学旅行课程</w:t>
            </w:r>
            <w:r>
              <w:rPr>
                <w:rFonts w:hint="eastAsia" w:ascii="楷体" w:hAnsi="楷体" w:eastAsia="楷体" w:cs="楷体"/>
                <w:snapToGrid w:val="0"/>
                <w:spacing w:val="0"/>
                <w:sz w:val="24"/>
                <w:szCs w:val="24"/>
                <w:lang w:eastAsia="zh-CN"/>
              </w:rPr>
              <w:t>，</w:t>
            </w:r>
            <w:r>
              <w:rPr>
                <w:rFonts w:ascii="楷体" w:hAnsi="楷体" w:eastAsia="楷体" w:cs="楷体"/>
                <w:snapToGrid w:val="0"/>
                <w:spacing w:val="0"/>
                <w:sz w:val="24"/>
                <w:szCs w:val="24"/>
                <w:lang w:eastAsia="zh-CN"/>
              </w:rPr>
              <w:t>建立一套科学规范的研学旅行管理机制。</w:t>
            </w:r>
          </w:p>
        </w:tc>
      </w:tr>
      <w:tr>
        <w:tblPrEx>
          <w:tblCellMar>
            <w:top w:w="0" w:type="dxa"/>
            <w:left w:w="0" w:type="dxa"/>
            <w:bottom w:w="0" w:type="dxa"/>
            <w:right w:w="0" w:type="dxa"/>
          </w:tblCellMar>
        </w:tblPrEx>
        <w:trPr>
          <w:trHeight w:val="1140" w:hRule="exact"/>
        </w:trPr>
        <w:tc>
          <w:tcPr>
            <w:tcW w:w="1872" w:type="dxa"/>
            <w:tcBorders>
              <w:top w:val="single" w:color="000000" w:sz="4" w:space="0"/>
              <w:left w:val="single" w:color="000000" w:sz="4" w:space="0"/>
              <w:bottom w:val="single" w:color="000000" w:sz="4" w:space="0"/>
              <w:right w:val="single" w:color="000000" w:sz="4" w:space="0"/>
            </w:tcBorders>
          </w:tcPr>
          <w:p>
            <w:pPr>
              <w:pStyle w:val="35"/>
              <w:keepNext w:val="0"/>
              <w:keepLines w:val="0"/>
              <w:pageBreakBefore w:val="0"/>
              <w:widowControl w:val="0"/>
              <w:kinsoku/>
              <w:wordWrap/>
              <w:overflowPunct/>
              <w:topLinePunct w:val="0"/>
              <w:autoSpaceDE/>
              <w:autoSpaceDN/>
              <w:bidi w:val="0"/>
              <w:adjustRightInd/>
              <w:snapToGrid/>
              <w:spacing w:line="280" w:lineRule="exact"/>
              <w:ind w:left="103"/>
              <w:textAlignment w:val="auto"/>
              <w:rPr>
                <w:rFonts w:ascii="楷体" w:hAnsi="楷体" w:eastAsia="楷体" w:cs="楷体"/>
                <w:snapToGrid w:val="0"/>
                <w:spacing w:val="0"/>
                <w:sz w:val="24"/>
                <w:szCs w:val="24"/>
                <w:lang w:eastAsia="zh-CN"/>
              </w:rPr>
            </w:pPr>
            <w:r>
              <w:rPr>
                <w:rFonts w:ascii="楷体" w:hAnsi="楷体" w:eastAsia="楷体" w:cs="楷体"/>
                <w:snapToGrid w:val="0"/>
                <w:spacing w:val="0"/>
                <w:sz w:val="24"/>
                <w:szCs w:val="24"/>
              </w:rPr>
              <w:t>普通高中育人方式改革工程</w:t>
            </w:r>
          </w:p>
        </w:tc>
        <w:tc>
          <w:tcPr>
            <w:tcW w:w="6898" w:type="dxa"/>
            <w:tcBorders>
              <w:top w:val="single" w:color="000000" w:sz="4" w:space="0"/>
              <w:left w:val="single" w:color="000000" w:sz="4" w:space="0"/>
              <w:bottom w:val="single" w:color="000000" w:sz="4" w:space="0"/>
              <w:right w:val="single" w:color="000000" w:sz="4" w:space="0"/>
            </w:tcBorders>
          </w:tcPr>
          <w:p>
            <w:pPr>
              <w:pStyle w:val="35"/>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ascii="楷体" w:hAnsi="楷体" w:eastAsia="楷体" w:cs="楷体"/>
                <w:snapToGrid w:val="0"/>
                <w:spacing w:val="0"/>
                <w:sz w:val="24"/>
                <w:szCs w:val="24"/>
                <w:lang w:eastAsia="zh-CN"/>
              </w:rPr>
            </w:pPr>
            <w:r>
              <w:rPr>
                <w:rFonts w:ascii="楷体" w:hAnsi="楷体" w:eastAsia="楷体" w:cs="楷体"/>
                <w:snapToGrid w:val="0"/>
                <w:spacing w:val="0"/>
                <w:sz w:val="24"/>
                <w:szCs w:val="24"/>
                <w:lang w:eastAsia="zh-CN"/>
              </w:rPr>
              <w:t>加强普通高中育人方式改革课题研究。培育创建10所普通高中多样化发展省级示范校，</w:t>
            </w:r>
            <w:r>
              <w:rPr>
                <w:rFonts w:hint="eastAsia" w:ascii="楷体" w:hAnsi="楷体" w:eastAsia="楷体" w:cs="楷体"/>
                <w:snapToGrid w:val="0"/>
                <w:spacing w:val="0"/>
                <w:sz w:val="24"/>
                <w:szCs w:val="24"/>
                <w:lang w:val="en-US" w:eastAsia="zh-CN"/>
              </w:rPr>
              <w:t>15所普通高中多样化发展市级示范校，</w:t>
            </w:r>
            <w:r>
              <w:rPr>
                <w:rFonts w:hint="eastAsia" w:ascii="楷体" w:hAnsi="楷体" w:eastAsia="楷体" w:cs="楷体"/>
                <w:snapToGrid w:val="0"/>
                <w:spacing w:val="0"/>
                <w:sz w:val="24"/>
                <w:szCs w:val="24"/>
                <w:lang w:eastAsia="zh-CN"/>
              </w:rPr>
              <w:t>15</w:t>
            </w:r>
            <w:r>
              <w:rPr>
                <w:rFonts w:ascii="楷体" w:hAnsi="楷体" w:eastAsia="楷体" w:cs="楷体"/>
                <w:snapToGrid w:val="0"/>
                <w:spacing w:val="0"/>
                <w:sz w:val="24"/>
                <w:szCs w:val="24"/>
                <w:lang w:eastAsia="zh-CN"/>
              </w:rPr>
              <w:t>所普通高中省级示范性教学创新基地建设学校，5</w:t>
            </w:r>
            <w:r>
              <w:rPr>
                <w:rFonts w:hint="eastAsia" w:ascii="楷体" w:hAnsi="楷体" w:eastAsia="楷体" w:cs="楷体"/>
                <w:snapToGrid w:val="0"/>
                <w:spacing w:val="0"/>
                <w:sz w:val="24"/>
                <w:szCs w:val="24"/>
                <w:lang w:eastAsia="zh-CN"/>
              </w:rPr>
              <w:t>0</w:t>
            </w:r>
            <w:r>
              <w:rPr>
                <w:rFonts w:ascii="楷体" w:hAnsi="楷体" w:eastAsia="楷体" w:cs="楷体"/>
                <w:snapToGrid w:val="0"/>
                <w:spacing w:val="0"/>
                <w:sz w:val="24"/>
                <w:szCs w:val="24"/>
                <w:lang w:eastAsia="zh-CN"/>
              </w:rPr>
              <w:t>个普通高中省级示范性学科。</w:t>
            </w:r>
          </w:p>
        </w:tc>
      </w:tr>
      <w:tr>
        <w:tblPrEx>
          <w:tblCellMar>
            <w:top w:w="0" w:type="dxa"/>
            <w:left w:w="0" w:type="dxa"/>
            <w:bottom w:w="0" w:type="dxa"/>
            <w:right w:w="0" w:type="dxa"/>
          </w:tblCellMar>
        </w:tblPrEx>
        <w:trPr>
          <w:trHeight w:val="1214" w:hRule="exact"/>
        </w:trPr>
        <w:tc>
          <w:tcPr>
            <w:tcW w:w="1872" w:type="dxa"/>
            <w:tcBorders>
              <w:top w:val="single" w:color="000000" w:sz="4" w:space="0"/>
              <w:left w:val="single" w:color="000000" w:sz="4" w:space="0"/>
              <w:bottom w:val="single" w:color="auto" w:sz="4" w:space="0"/>
              <w:right w:val="single" w:color="000000" w:sz="4" w:space="0"/>
            </w:tcBorders>
          </w:tcPr>
          <w:p>
            <w:pPr>
              <w:pStyle w:val="35"/>
              <w:keepNext w:val="0"/>
              <w:keepLines w:val="0"/>
              <w:pageBreakBefore w:val="0"/>
              <w:widowControl w:val="0"/>
              <w:kinsoku/>
              <w:wordWrap/>
              <w:overflowPunct/>
              <w:topLinePunct w:val="0"/>
              <w:autoSpaceDE/>
              <w:autoSpaceDN/>
              <w:bidi w:val="0"/>
              <w:adjustRightInd/>
              <w:snapToGrid/>
              <w:spacing w:line="280" w:lineRule="exact"/>
              <w:ind w:left="103"/>
              <w:textAlignment w:val="auto"/>
              <w:rPr>
                <w:rFonts w:ascii="楷体" w:hAnsi="楷体" w:eastAsia="楷体" w:cs="楷体"/>
                <w:snapToGrid w:val="0"/>
                <w:spacing w:val="0"/>
                <w:sz w:val="24"/>
                <w:szCs w:val="24"/>
                <w:lang w:eastAsia="zh-CN"/>
              </w:rPr>
            </w:pPr>
            <w:r>
              <w:rPr>
                <w:rFonts w:ascii="楷体" w:hAnsi="楷体" w:eastAsia="楷体" w:cs="楷体"/>
                <w:snapToGrid w:val="0"/>
                <w:spacing w:val="0"/>
                <w:sz w:val="24"/>
                <w:szCs w:val="24"/>
                <w:lang w:eastAsia="zh-CN"/>
              </w:rPr>
              <w:t>特殊教育办学能力提升工程</w:t>
            </w:r>
          </w:p>
        </w:tc>
        <w:tc>
          <w:tcPr>
            <w:tcW w:w="6898" w:type="dxa"/>
            <w:tcBorders>
              <w:top w:val="single" w:color="000000" w:sz="4" w:space="0"/>
              <w:left w:val="single" w:color="000000" w:sz="4" w:space="0"/>
              <w:bottom w:val="single" w:color="auto" w:sz="4" w:space="0"/>
              <w:right w:val="single" w:color="000000" w:sz="4" w:space="0"/>
            </w:tcBorders>
          </w:tcPr>
          <w:p>
            <w:pPr>
              <w:pStyle w:val="35"/>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ascii="楷体" w:hAnsi="楷体" w:eastAsia="楷体" w:cs="楷体"/>
                <w:snapToGrid w:val="0"/>
                <w:spacing w:val="0"/>
                <w:sz w:val="24"/>
                <w:szCs w:val="24"/>
                <w:lang w:eastAsia="zh-CN"/>
              </w:rPr>
            </w:pPr>
            <w:r>
              <w:rPr>
                <w:rFonts w:ascii="楷体" w:hAnsi="楷体" w:eastAsia="楷体" w:cs="楷体"/>
                <w:snapToGrid w:val="0"/>
                <w:spacing w:val="0"/>
                <w:sz w:val="24"/>
                <w:szCs w:val="24"/>
                <w:lang w:eastAsia="zh-CN"/>
              </w:rPr>
              <w:t>组织实施</w:t>
            </w:r>
            <w:r>
              <w:rPr>
                <w:rFonts w:hint="eastAsia" w:ascii="楷体" w:hAnsi="楷体" w:eastAsia="楷体" w:cs="楷体"/>
                <w:snapToGrid w:val="0"/>
                <w:spacing w:val="0"/>
                <w:sz w:val="24"/>
                <w:szCs w:val="24"/>
                <w:lang w:eastAsia="zh-CN"/>
              </w:rPr>
              <w:t>“十四五”</w:t>
            </w:r>
            <w:r>
              <w:rPr>
                <w:rFonts w:ascii="楷体" w:hAnsi="楷体" w:eastAsia="楷体" w:cs="楷体"/>
                <w:snapToGrid w:val="0"/>
                <w:spacing w:val="0"/>
                <w:sz w:val="24"/>
                <w:szCs w:val="24"/>
                <w:lang w:eastAsia="zh-CN"/>
              </w:rPr>
              <w:t>特殊教育</w:t>
            </w:r>
            <w:r>
              <w:rPr>
                <w:rFonts w:hint="eastAsia" w:ascii="楷体" w:hAnsi="楷体" w:eastAsia="楷体" w:cs="楷体"/>
                <w:snapToGrid w:val="0"/>
                <w:spacing w:val="0"/>
                <w:sz w:val="24"/>
                <w:szCs w:val="24"/>
                <w:lang w:eastAsia="zh-CN"/>
              </w:rPr>
              <w:t>发展提升行动</w:t>
            </w:r>
            <w:r>
              <w:rPr>
                <w:rFonts w:ascii="楷体" w:hAnsi="楷体" w:eastAsia="楷体" w:cs="楷体"/>
                <w:snapToGrid w:val="0"/>
                <w:spacing w:val="0"/>
                <w:sz w:val="24"/>
                <w:szCs w:val="24"/>
                <w:lang w:eastAsia="zh-CN"/>
              </w:rPr>
              <w:t>计划，提高特殊教育教学质量，提升特殊教育整体发展水平。20万人口以上的县</w:t>
            </w:r>
            <w:r>
              <w:rPr>
                <w:rFonts w:hint="eastAsia" w:ascii="楷体" w:hAnsi="楷体" w:eastAsia="楷体" w:cs="楷体"/>
                <w:snapToGrid w:val="0"/>
                <w:spacing w:val="0"/>
                <w:sz w:val="24"/>
                <w:szCs w:val="24"/>
                <w:lang w:eastAsia="zh-CN"/>
              </w:rPr>
              <w:t>区</w:t>
            </w:r>
            <w:r>
              <w:rPr>
                <w:rFonts w:ascii="楷体" w:hAnsi="楷体" w:eastAsia="楷体" w:cs="楷体"/>
                <w:snapToGrid w:val="0"/>
                <w:spacing w:val="0"/>
                <w:sz w:val="24"/>
                <w:szCs w:val="24"/>
                <w:lang w:eastAsia="zh-CN"/>
              </w:rPr>
              <w:t>办好一所达到标准的特殊教育学校，落实市、县特殊教育资源中心全覆盖，逐步实现随班就读5人以上普通学校建设资源教室。</w:t>
            </w:r>
          </w:p>
        </w:tc>
      </w:tr>
    </w:tbl>
    <w:p>
      <w:pPr>
        <w:pStyle w:val="4"/>
        <w:keepNext/>
        <w:keepLines/>
        <w:pageBreakBefore w:val="0"/>
        <w:widowControl w:val="0"/>
        <w:kinsoku/>
        <w:wordWrap/>
        <w:overflowPunct/>
        <w:topLinePunct w:val="0"/>
        <w:autoSpaceDE/>
        <w:autoSpaceDN/>
        <w:bidi w:val="0"/>
        <w:adjustRightInd/>
        <w:snapToGrid/>
        <w:spacing w:line="540" w:lineRule="exact"/>
        <w:ind w:firstLine="642" w:firstLineChars="200"/>
        <w:textAlignment w:val="auto"/>
        <w:rPr>
          <w:rFonts w:ascii="黑体" w:hAnsi="黑体" w:cs="黑体"/>
          <w:snapToGrid w:val="0"/>
          <w:color w:val="000000" w:themeColor="text1"/>
          <w:spacing w:val="0"/>
          <w:szCs w:val="32"/>
          <w14:textFill>
            <w14:solidFill>
              <w14:schemeClr w14:val="tx1"/>
            </w14:solidFill>
          </w14:textFill>
        </w:rPr>
      </w:pPr>
      <w:bookmarkStart w:id="64" w:name="_Toc27770"/>
      <w:bookmarkStart w:id="65" w:name="_Toc13422"/>
      <w:bookmarkStart w:id="66" w:name="_Toc13079"/>
      <w:r>
        <w:rPr>
          <w:rFonts w:hint="eastAsia" w:ascii="黑体" w:hAnsi="黑体" w:cs="黑体"/>
          <w:snapToGrid w:val="0"/>
          <w:color w:val="000000" w:themeColor="text1"/>
          <w:spacing w:val="0"/>
          <w:szCs w:val="32"/>
          <w14:textFill>
            <w14:solidFill>
              <w14:schemeClr w14:val="tx1"/>
            </w14:solidFill>
          </w14:textFill>
        </w:rPr>
        <w:t>四、增强职业教育适应性</w:t>
      </w:r>
      <w:bookmarkEnd w:id="64"/>
      <w:bookmarkEnd w:id="65"/>
      <w:bookmarkEnd w:id="66"/>
    </w:p>
    <w:p>
      <w:pPr>
        <w:pageBreakBefore w:val="0"/>
        <w:kinsoku/>
        <w:wordWrap/>
        <w:overflowPunct/>
        <w:topLinePunct w:val="0"/>
        <w:autoSpaceDE/>
        <w:autoSpaceDN/>
        <w:bidi w:val="0"/>
        <w:spacing w:line="540" w:lineRule="exact"/>
        <w:ind w:firstLine="560" w:firstLineChars="200"/>
        <w:textAlignment w:val="auto"/>
        <w:rPr>
          <w:rFonts w:ascii="仿宋_GB2312" w:hAnsi="仿宋_GB2312" w:eastAsia="仿宋_GB2312" w:cs="仿宋_GB2312"/>
          <w:snapToGrid w:val="0"/>
          <w:color w:val="000000" w:themeColor="text1"/>
          <w:spacing w:val="0"/>
          <w:sz w:val="28"/>
          <w:szCs w:val="28"/>
          <w14:textFill>
            <w14:solidFill>
              <w14:schemeClr w14:val="tx1"/>
            </w14:solidFill>
          </w14:textFill>
        </w:rPr>
      </w:pP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深入贯彻习近平总书记视察河南重要讲话和关于职业教育工作的重要指示精神</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及</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全国</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职业</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教育大会、全省职业教育大会精神，全面落实</w:t>
      </w:r>
      <w:r>
        <w:rPr>
          <w:rFonts w:hint="eastAsia" w:ascii="仿宋_GB2312" w:hAnsi="仿宋_GB2312" w:eastAsia="仿宋_GB2312" w:cs="仿宋_GB2312"/>
          <w:b w:val="0"/>
          <w:bCs w:val="0"/>
          <w:snapToGrid w:val="0"/>
          <w:color w:val="auto"/>
          <w:spacing w:val="0"/>
          <w:sz w:val="28"/>
          <w:szCs w:val="28"/>
          <w:lang w:eastAsia="zh-CN"/>
        </w:rPr>
        <w:t>新修订的《职业教育法》、</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国家和河南省职业教育改革实施方案，坚持类型教育定位，深化产教融合、校企合作，</w:t>
      </w:r>
      <w:r>
        <w:rPr>
          <w:rFonts w:hint="eastAsia" w:ascii="仿宋_GB2312" w:hAnsi="仿宋_GB2312" w:eastAsia="仿宋_GB2312" w:cs="仿宋_GB2312"/>
          <w:b w:val="0"/>
          <w:bCs w:val="0"/>
          <w:snapToGrid w:val="0"/>
          <w:color w:val="auto"/>
          <w:spacing w:val="0"/>
          <w:sz w:val="28"/>
          <w:szCs w:val="28"/>
          <w:lang w:val="en-US" w:eastAsia="zh-CN"/>
        </w:rPr>
        <w:t>深入推进“人人持证、技能河南”</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建设，着力打造职业教育创新发展高地，增强职业教育吸引力。</w:t>
      </w:r>
    </w:p>
    <w:p>
      <w:pPr>
        <w:pStyle w:val="2"/>
        <w:pageBreakBefore w:val="0"/>
        <w:kinsoku/>
        <w:wordWrap/>
        <w:overflowPunct/>
        <w:topLinePunct w:val="0"/>
        <w:autoSpaceDE/>
        <w:autoSpaceDN/>
        <w:bidi w:val="0"/>
        <w:spacing w:line="540" w:lineRule="exact"/>
        <w:textAlignment w:val="auto"/>
        <w:outlineLvl w:val="1"/>
        <w:rPr>
          <w:rFonts w:ascii="楷体" w:hAnsi="楷体" w:eastAsia="楷体" w:cs="楷体"/>
          <w:bCs/>
          <w:snapToGrid w:val="0"/>
          <w:spacing w:val="0"/>
          <w:sz w:val="30"/>
        </w:rPr>
      </w:pPr>
      <w:bookmarkStart w:id="67" w:name="_Toc13679"/>
      <w:bookmarkStart w:id="68" w:name="_Toc30490"/>
      <w:r>
        <w:rPr>
          <w:rFonts w:hint="eastAsia" w:ascii="楷体" w:hAnsi="楷体" w:eastAsia="楷体" w:cs="楷体"/>
          <w:bCs/>
          <w:snapToGrid w:val="0"/>
          <w:spacing w:val="0"/>
          <w:sz w:val="30"/>
        </w:rPr>
        <w:t>（一）完善类型教育人才培养体系</w:t>
      </w:r>
      <w:bookmarkEnd w:id="67"/>
      <w:bookmarkEnd w:id="68"/>
    </w:p>
    <w:p>
      <w:pPr>
        <w:pageBreakBefore w:val="0"/>
        <w:kinsoku/>
        <w:wordWrap/>
        <w:overflowPunct/>
        <w:topLinePunct w:val="0"/>
        <w:autoSpaceDE/>
        <w:autoSpaceDN/>
        <w:bidi w:val="0"/>
        <w:spacing w:line="540" w:lineRule="exact"/>
        <w:ind w:firstLine="560" w:firstLineChars="200"/>
        <w:textAlignment w:val="auto"/>
        <w:rPr>
          <w:rFonts w:ascii="仿宋_GB2312" w:hAnsi="仿宋_GB2312" w:eastAsia="仿宋_GB2312" w:cs="仿宋_GB2312"/>
          <w:b w:val="0"/>
          <w:bCs w:val="0"/>
          <w:snapToGrid w:val="0"/>
          <w:color w:val="auto"/>
          <w:spacing w:val="0"/>
          <w:sz w:val="28"/>
          <w:szCs w:val="28"/>
        </w:rPr>
      </w:pPr>
      <w:r>
        <w:rPr>
          <w:rFonts w:hint="eastAsia" w:ascii="仿宋_GB2312" w:hAnsi="仿宋_GB2312" w:eastAsia="仿宋_GB2312" w:cs="仿宋_GB2312"/>
          <w:b w:val="0"/>
          <w:bCs w:val="0"/>
          <w:snapToGrid w:val="0"/>
          <w:color w:val="auto"/>
          <w:spacing w:val="0"/>
          <w:sz w:val="28"/>
          <w:szCs w:val="28"/>
        </w:rPr>
        <w:t>完善现代职业教育体系。坚持职业教育的类型教育基本定位，建立紧密对接各产业链、生活各领域和人口各年龄段的现代职业教育和培训体系。落实好《驻马店市加快推进职业教育创新发展高地建设“一地一策”实施方案》，打造若干高水平职业院校。</w:t>
      </w:r>
      <w:r>
        <w:rPr>
          <w:rFonts w:hint="eastAsia" w:ascii="仿宋_GB2312" w:hAnsi="仿宋_GB2312" w:eastAsia="仿宋_GB2312" w:cs="仿宋_GB2312"/>
          <w:b w:val="0"/>
          <w:bCs w:val="0"/>
          <w:color w:val="auto"/>
          <w:kern w:val="0"/>
          <w:sz w:val="28"/>
          <w:szCs w:val="28"/>
          <w:lang w:eastAsia="zh-CN"/>
        </w:rPr>
        <w:t>推进黄淮学院应用型本科</w:t>
      </w:r>
      <w:r>
        <w:rPr>
          <w:rFonts w:hint="eastAsia" w:ascii="仿宋_GB2312" w:hAnsi="仿宋_GB2312" w:eastAsia="仿宋_GB2312" w:cs="仿宋_GB2312"/>
          <w:b w:val="0"/>
          <w:bCs w:val="0"/>
          <w:color w:val="auto"/>
          <w:kern w:val="0"/>
          <w:sz w:val="28"/>
          <w:szCs w:val="28"/>
        </w:rPr>
        <w:t>高质量发展</w:t>
      </w:r>
      <w:r>
        <w:rPr>
          <w:rFonts w:hint="eastAsia" w:ascii="仿宋_GB2312" w:hAnsi="仿宋_GB2312" w:eastAsia="仿宋_GB2312" w:cs="仿宋_GB2312"/>
          <w:b w:val="0"/>
          <w:bCs w:val="0"/>
          <w:color w:val="auto"/>
          <w:kern w:val="0"/>
          <w:sz w:val="28"/>
          <w:szCs w:val="28"/>
          <w:lang w:eastAsia="zh-CN"/>
        </w:rPr>
        <w:t>，</w:t>
      </w:r>
      <w:r>
        <w:rPr>
          <w:rFonts w:hint="eastAsia" w:ascii="仿宋_GB2312" w:hAnsi="仿宋_GB2312" w:eastAsia="仿宋_GB2312" w:cs="仿宋_GB2312"/>
          <w:b w:val="0"/>
          <w:bCs w:val="0"/>
          <w:color w:val="auto"/>
          <w:kern w:val="0"/>
          <w:sz w:val="28"/>
          <w:szCs w:val="28"/>
        </w:rPr>
        <w:t>培养服务区域发展的高素质技术技能人才</w:t>
      </w:r>
      <w:r>
        <w:rPr>
          <w:rFonts w:hint="eastAsia" w:ascii="仿宋_GB2312" w:hAnsi="仿宋_GB2312" w:eastAsia="仿宋_GB2312" w:cs="仿宋_GB2312"/>
          <w:b w:val="0"/>
          <w:bCs w:val="0"/>
          <w:color w:val="auto"/>
          <w:kern w:val="0"/>
          <w:sz w:val="28"/>
          <w:szCs w:val="28"/>
          <w:lang w:eastAsia="zh-CN"/>
        </w:rPr>
        <w:t>。</w:t>
      </w:r>
      <w:r>
        <w:rPr>
          <w:rFonts w:hint="eastAsia" w:ascii="仿宋_GB2312" w:hAnsi="仿宋_GB2312" w:eastAsia="仿宋_GB2312" w:cs="仿宋_GB2312"/>
          <w:b w:val="0"/>
          <w:bCs w:val="0"/>
          <w:snapToGrid w:val="0"/>
          <w:color w:val="auto"/>
          <w:spacing w:val="0"/>
          <w:sz w:val="28"/>
          <w:szCs w:val="28"/>
        </w:rPr>
        <w:t>发挥黄淮学院龙头作用，辐射带动</w:t>
      </w:r>
      <w:r>
        <w:rPr>
          <w:rFonts w:hint="eastAsia" w:ascii="仿宋_GB2312" w:hAnsi="仿宋_GB2312" w:eastAsia="仿宋_GB2312" w:cs="仿宋_GB2312"/>
          <w:b w:val="0"/>
          <w:bCs w:val="0"/>
          <w:snapToGrid w:val="0"/>
          <w:color w:val="auto"/>
          <w:spacing w:val="0"/>
          <w:sz w:val="28"/>
          <w:szCs w:val="28"/>
          <w:lang w:val="en-US" w:eastAsia="zh-CN"/>
        </w:rPr>
        <w:t>全市职业院校加快</w:t>
      </w:r>
      <w:r>
        <w:rPr>
          <w:rFonts w:hint="eastAsia" w:ascii="仿宋_GB2312" w:hAnsi="仿宋_GB2312" w:eastAsia="仿宋_GB2312" w:cs="仿宋_GB2312"/>
          <w:b w:val="0"/>
          <w:bCs w:val="0"/>
          <w:snapToGrid w:val="0"/>
          <w:color w:val="auto"/>
          <w:spacing w:val="0"/>
          <w:sz w:val="28"/>
          <w:szCs w:val="28"/>
        </w:rPr>
        <w:t>发展。</w:t>
      </w:r>
      <w:r>
        <w:rPr>
          <w:rFonts w:hint="eastAsia" w:ascii="仿宋_GB2312" w:hAnsi="仿宋_GB2312" w:eastAsia="仿宋_GB2312" w:cs="仿宋_GB2312"/>
          <w:b w:val="0"/>
          <w:bCs w:val="0"/>
          <w:color w:val="auto"/>
          <w:kern w:val="0"/>
          <w:sz w:val="28"/>
          <w:szCs w:val="28"/>
        </w:rPr>
        <w:t>把发展高等职业教育作为优化高等教育结构和培养大国工匠、能工巧匠的重要方式，使城乡新增劳动力更多接受高等教育。</w:t>
      </w:r>
      <w:r>
        <w:rPr>
          <w:rFonts w:hint="eastAsia" w:ascii="仿宋_GB2312" w:hAnsi="仿宋_GB2312" w:eastAsia="仿宋_GB2312" w:cs="仿宋_GB2312"/>
          <w:b w:val="0"/>
          <w:bCs w:val="0"/>
          <w:color w:val="auto"/>
          <w:kern w:val="0"/>
          <w:sz w:val="28"/>
          <w:szCs w:val="28"/>
          <w:lang w:eastAsia="zh-CN"/>
        </w:rPr>
        <w:t>建设发展好驻马店职业技术学院和驻马店幼儿师范高等专科学校，要重点办好服务地方发展的特色优势专业（群），将驻马店职业技术学院逐步建设成为集就业教育、升学教育、培训教育、创新中心于一体的区域技术技能积累的重要资源集聚地。</w:t>
      </w:r>
      <w:r>
        <w:rPr>
          <w:rFonts w:hint="eastAsia" w:ascii="仿宋_GB2312" w:hAnsi="仿宋_GB2312" w:eastAsia="仿宋_GB2312" w:cs="仿宋_GB2312"/>
          <w:b w:val="0"/>
          <w:bCs w:val="0"/>
          <w:snapToGrid w:val="0"/>
          <w:color w:val="auto"/>
          <w:spacing w:val="0"/>
          <w:sz w:val="28"/>
          <w:szCs w:val="28"/>
          <w:lang w:val="en-US" w:eastAsia="zh-CN"/>
        </w:rPr>
        <w:t>持续推进市</w:t>
      </w:r>
      <w:r>
        <w:rPr>
          <w:rFonts w:hint="eastAsia" w:ascii="仿宋_GB2312" w:hAnsi="仿宋_GB2312" w:eastAsia="仿宋_GB2312" w:cs="仿宋_GB2312"/>
          <w:b w:val="0"/>
          <w:bCs w:val="0"/>
          <w:snapToGrid w:val="0"/>
          <w:color w:val="auto"/>
          <w:spacing w:val="0"/>
          <w:sz w:val="28"/>
          <w:szCs w:val="28"/>
        </w:rPr>
        <w:t>职教园区建设</w:t>
      </w:r>
      <w:r>
        <w:rPr>
          <w:rFonts w:hint="eastAsia" w:ascii="仿宋_GB2312" w:hAnsi="仿宋_GB2312" w:eastAsia="仿宋_GB2312" w:cs="仿宋_GB2312"/>
          <w:b w:val="0"/>
          <w:bCs w:val="0"/>
          <w:snapToGrid w:val="0"/>
          <w:color w:val="auto"/>
          <w:spacing w:val="0"/>
          <w:sz w:val="28"/>
          <w:szCs w:val="28"/>
          <w:lang w:eastAsia="zh-CN"/>
        </w:rPr>
        <w:t>，</w:t>
      </w:r>
      <w:r>
        <w:rPr>
          <w:rFonts w:hint="eastAsia" w:ascii="仿宋_GB2312" w:hAnsi="仿宋_GB2312" w:eastAsia="仿宋_GB2312" w:cs="仿宋_GB2312"/>
          <w:b w:val="0"/>
          <w:bCs w:val="0"/>
          <w:snapToGrid w:val="0"/>
          <w:color w:val="auto"/>
          <w:spacing w:val="0"/>
          <w:sz w:val="28"/>
          <w:szCs w:val="28"/>
        </w:rPr>
        <w:t>园区整体办学容量达到6万人</w:t>
      </w:r>
      <w:r>
        <w:rPr>
          <w:rFonts w:hint="eastAsia" w:ascii="仿宋_GB2312" w:hAnsi="仿宋_GB2312" w:eastAsia="仿宋_GB2312" w:cs="仿宋_GB2312"/>
          <w:b w:val="0"/>
          <w:bCs w:val="0"/>
          <w:snapToGrid w:val="0"/>
          <w:color w:val="auto"/>
          <w:spacing w:val="0"/>
          <w:sz w:val="28"/>
          <w:szCs w:val="28"/>
          <w:lang w:eastAsia="zh-CN"/>
        </w:rPr>
        <w:t>。</w:t>
      </w:r>
    </w:p>
    <w:p>
      <w:pPr>
        <w:pStyle w:val="2"/>
        <w:pageBreakBefore w:val="0"/>
        <w:kinsoku/>
        <w:wordWrap/>
        <w:overflowPunct/>
        <w:topLinePunct w:val="0"/>
        <w:autoSpaceDE/>
        <w:autoSpaceDN/>
        <w:bidi w:val="0"/>
        <w:spacing w:line="540" w:lineRule="exact"/>
        <w:ind w:firstLine="629"/>
        <w:textAlignment w:val="auto"/>
        <w:rPr>
          <w:rFonts w:hint="eastAsia" w:ascii="仿宋_GB2312" w:hAnsi="Calibri" w:eastAsia="仿宋_GB2312" w:cs="Calibri"/>
          <w:b w:val="0"/>
          <w:bCs w:val="0"/>
          <w:snapToGrid w:val="0"/>
          <w:color w:val="auto"/>
          <w:spacing w:val="0"/>
          <w:kern w:val="0"/>
          <w:sz w:val="28"/>
          <w:szCs w:val="28"/>
          <w:lang w:eastAsia="zh-CN" w:bidi="en-US"/>
        </w:rPr>
      </w:pPr>
      <w:r>
        <w:rPr>
          <w:rFonts w:hint="eastAsia" w:ascii="仿宋_GB2312" w:hAnsi="Calibri" w:eastAsia="仿宋_GB2312" w:cs="Calibri"/>
          <w:b w:val="0"/>
          <w:bCs w:val="0"/>
          <w:snapToGrid w:val="0"/>
          <w:color w:val="auto"/>
          <w:spacing w:val="0"/>
          <w:kern w:val="0"/>
          <w:sz w:val="28"/>
          <w:szCs w:val="28"/>
          <w:lang w:bidi="en-US"/>
        </w:rPr>
        <w:t>巩固中等职业教育的基础地位。优化教育结构，把发展中等职业教育作为普及高中阶段教育的重要基础，推进高中阶段教育职普比大体相当，使绝大多数城乡新增劳动力接受高中阶段教育。实施中等职业学校标准化建设工程，推动全市中等职业学校基本办学条件达到国家规定标准</w:t>
      </w:r>
      <w:r>
        <w:rPr>
          <w:rFonts w:hint="eastAsia" w:ascii="仿宋_GB2312" w:hAnsi="Calibri" w:eastAsia="仿宋_GB2312" w:cs="Calibri"/>
          <w:b w:val="0"/>
          <w:bCs w:val="0"/>
          <w:snapToGrid w:val="0"/>
          <w:color w:val="auto"/>
          <w:spacing w:val="0"/>
          <w:kern w:val="0"/>
          <w:sz w:val="28"/>
          <w:szCs w:val="28"/>
          <w:lang w:eastAsia="zh-CN" w:bidi="en-US"/>
        </w:rPr>
        <w:t>。</w:t>
      </w:r>
      <w:r>
        <w:rPr>
          <w:rFonts w:hint="eastAsia" w:ascii="仿宋_GB2312" w:hAnsi="仿宋_GB2312" w:eastAsia="仿宋_GB2312" w:cs="仿宋_GB2312"/>
          <w:b w:val="0"/>
          <w:bCs w:val="0"/>
          <w:snapToGrid w:val="0"/>
          <w:color w:val="auto"/>
          <w:spacing w:val="0"/>
          <w:sz w:val="28"/>
          <w:szCs w:val="28"/>
        </w:rPr>
        <w:t>实施“一地一策”的中等职业学校扩容提质建设行动计划</w:t>
      </w:r>
      <w:r>
        <w:rPr>
          <w:rFonts w:hint="eastAsia" w:ascii="仿宋_GB2312" w:hAnsi="仿宋_GB2312" w:eastAsia="仿宋_GB2312" w:cs="仿宋_GB2312"/>
          <w:b w:val="0"/>
          <w:bCs w:val="0"/>
          <w:snapToGrid w:val="0"/>
          <w:color w:val="auto"/>
          <w:spacing w:val="0"/>
          <w:sz w:val="28"/>
          <w:szCs w:val="28"/>
          <w:lang w:eastAsia="zh-CN"/>
        </w:rPr>
        <w:t>，</w:t>
      </w:r>
      <w:r>
        <w:rPr>
          <w:rFonts w:hint="eastAsia" w:ascii="仿宋_GB2312" w:hAnsi="Calibri" w:eastAsia="仿宋_GB2312" w:cs="Calibri"/>
          <w:b w:val="0"/>
          <w:bCs w:val="0"/>
          <w:snapToGrid w:val="0"/>
          <w:color w:val="auto"/>
          <w:spacing w:val="0"/>
          <w:kern w:val="0"/>
          <w:sz w:val="28"/>
          <w:szCs w:val="28"/>
          <w:lang w:bidi="en-US"/>
        </w:rPr>
        <w:t>各县区加大投入，改善条件，办好至少一所符合当地经济社会发展和技术技能人才培养需要的中职学校</w:t>
      </w:r>
      <w:r>
        <w:rPr>
          <w:rFonts w:hint="eastAsia" w:ascii="仿宋_GB2312" w:hAnsi="Calibri" w:eastAsia="仿宋_GB2312" w:cs="Calibri"/>
          <w:b w:val="0"/>
          <w:bCs w:val="0"/>
          <w:snapToGrid w:val="0"/>
          <w:color w:val="auto"/>
          <w:spacing w:val="0"/>
          <w:kern w:val="0"/>
          <w:sz w:val="28"/>
          <w:szCs w:val="28"/>
          <w:lang w:eastAsia="zh-CN" w:bidi="en-US"/>
        </w:rPr>
        <w:t>。</w:t>
      </w:r>
      <w:r>
        <w:rPr>
          <w:rFonts w:hint="eastAsia" w:ascii="仿宋_GB2312" w:hAnsi="仿宋_GB2312" w:eastAsia="仿宋_GB2312" w:cs="仿宋_GB2312"/>
          <w:b w:val="0"/>
          <w:bCs w:val="0"/>
          <w:snapToGrid w:val="0"/>
          <w:color w:val="auto"/>
          <w:spacing w:val="0"/>
          <w:sz w:val="28"/>
          <w:szCs w:val="28"/>
        </w:rPr>
        <w:t>注重招商引资，</w:t>
      </w:r>
      <w:r>
        <w:rPr>
          <w:rFonts w:hint="eastAsia" w:ascii="仿宋_GB2312" w:hAnsi="仿宋_GB2312" w:eastAsia="仿宋_GB2312" w:cs="仿宋_GB2312"/>
          <w:b w:val="0"/>
          <w:bCs w:val="0"/>
          <w:snapToGrid w:val="0"/>
          <w:color w:val="auto"/>
          <w:spacing w:val="0"/>
          <w:sz w:val="28"/>
          <w:szCs w:val="28"/>
          <w:lang w:val="en-US" w:eastAsia="zh-CN"/>
        </w:rPr>
        <w:t>新建</w:t>
      </w:r>
      <w:r>
        <w:rPr>
          <w:rFonts w:hint="eastAsia" w:ascii="仿宋_GB2312" w:hAnsi="仿宋_GB2312" w:eastAsia="仿宋_GB2312" w:cs="仿宋_GB2312"/>
          <w:b w:val="0"/>
          <w:bCs w:val="0"/>
          <w:snapToGrid w:val="0"/>
          <w:color w:val="auto"/>
          <w:spacing w:val="0"/>
          <w:sz w:val="28"/>
          <w:szCs w:val="28"/>
        </w:rPr>
        <w:t>1-2所中等职业学校。到2025年，</w:t>
      </w:r>
      <w:r>
        <w:rPr>
          <w:rFonts w:hint="eastAsia" w:ascii="仿宋_GB2312" w:hAnsi="仿宋_GB2312" w:eastAsia="仿宋_GB2312" w:cs="仿宋_GB2312"/>
          <w:b w:val="0"/>
          <w:bCs w:val="0"/>
          <w:snapToGrid w:val="0"/>
          <w:color w:val="auto"/>
          <w:spacing w:val="0"/>
          <w:sz w:val="28"/>
          <w:szCs w:val="28"/>
          <w:lang w:val="en-US" w:eastAsia="zh-CN"/>
        </w:rPr>
        <w:t>全市</w:t>
      </w:r>
      <w:r>
        <w:rPr>
          <w:rFonts w:hint="eastAsia" w:ascii="仿宋_GB2312" w:hAnsi="仿宋_GB2312" w:eastAsia="仿宋_GB2312" w:cs="仿宋_GB2312"/>
          <w:b w:val="0"/>
          <w:bCs w:val="0"/>
          <w:snapToGrid w:val="0"/>
          <w:color w:val="auto"/>
          <w:spacing w:val="0"/>
          <w:sz w:val="28"/>
          <w:szCs w:val="28"/>
        </w:rPr>
        <w:t>中等职业学校在校生规模达到</w:t>
      </w:r>
      <w:r>
        <w:rPr>
          <w:rFonts w:hint="eastAsia" w:ascii="仿宋_GB2312" w:hAnsi="仿宋_GB2312" w:eastAsia="仿宋_GB2312" w:cs="仿宋_GB2312"/>
          <w:b w:val="0"/>
          <w:bCs w:val="0"/>
          <w:snapToGrid w:val="0"/>
          <w:color w:val="auto"/>
          <w:spacing w:val="0"/>
          <w:sz w:val="28"/>
          <w:szCs w:val="28"/>
          <w:lang w:val="en-US" w:eastAsia="zh-CN"/>
        </w:rPr>
        <w:t>12</w:t>
      </w:r>
      <w:r>
        <w:rPr>
          <w:rFonts w:hint="eastAsia" w:ascii="仿宋_GB2312" w:hAnsi="仿宋_GB2312" w:eastAsia="仿宋_GB2312" w:cs="仿宋_GB2312"/>
          <w:b w:val="0"/>
          <w:bCs w:val="0"/>
          <w:snapToGrid w:val="0"/>
          <w:color w:val="auto"/>
          <w:spacing w:val="0"/>
          <w:sz w:val="28"/>
          <w:szCs w:val="28"/>
        </w:rPr>
        <w:t>万人。</w:t>
      </w:r>
      <w:r>
        <w:rPr>
          <w:rFonts w:hint="eastAsia" w:ascii="仿宋_GB2312" w:hAnsi="Calibri" w:eastAsia="仿宋_GB2312" w:cs="Calibri"/>
          <w:b w:val="0"/>
          <w:bCs w:val="0"/>
          <w:snapToGrid w:val="0"/>
          <w:color w:val="auto"/>
          <w:spacing w:val="0"/>
          <w:kern w:val="0"/>
          <w:sz w:val="28"/>
          <w:szCs w:val="28"/>
          <w:lang w:bidi="en-US"/>
        </w:rPr>
        <w:t>把中职学校标准化建设纳入对各县区政府履行教育职责评价的重要内容。</w:t>
      </w:r>
    </w:p>
    <w:p>
      <w:pPr>
        <w:pStyle w:val="2"/>
        <w:pageBreakBefore w:val="0"/>
        <w:kinsoku/>
        <w:wordWrap/>
        <w:overflowPunct/>
        <w:topLinePunct w:val="0"/>
        <w:autoSpaceDE/>
        <w:autoSpaceDN/>
        <w:bidi w:val="0"/>
        <w:spacing w:line="540" w:lineRule="exact"/>
        <w:ind w:firstLine="629"/>
        <w:textAlignment w:val="auto"/>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val="en-US" w:eastAsia="zh-CN"/>
        </w:rPr>
        <w:t>提高职业教育人才培养质量。</w:t>
      </w:r>
      <w:r>
        <w:rPr>
          <w:rFonts w:hint="eastAsia" w:ascii="仿宋_GB2312" w:hAnsi="仿宋_GB2312" w:eastAsia="仿宋_GB2312" w:cs="仿宋_GB2312"/>
          <w:b w:val="0"/>
          <w:bCs w:val="0"/>
          <w:color w:val="auto"/>
          <w:sz w:val="28"/>
          <w:szCs w:val="28"/>
          <w:u w:val="none"/>
        </w:rPr>
        <w:t>调整</w:t>
      </w:r>
      <w:r>
        <w:rPr>
          <w:rFonts w:hint="eastAsia" w:ascii="仿宋_GB2312" w:hAnsi="仿宋_GB2312" w:eastAsia="仿宋_GB2312" w:cs="仿宋_GB2312"/>
          <w:b w:val="0"/>
          <w:bCs w:val="0"/>
          <w:color w:val="auto"/>
          <w:sz w:val="28"/>
          <w:szCs w:val="28"/>
          <w:u w:val="none"/>
          <w:lang w:eastAsia="zh-CN"/>
        </w:rPr>
        <w:t>、</w:t>
      </w:r>
      <w:r>
        <w:rPr>
          <w:rFonts w:hint="eastAsia" w:ascii="仿宋_GB2312" w:hAnsi="仿宋_GB2312" w:eastAsia="仿宋_GB2312" w:cs="仿宋_GB2312"/>
          <w:b w:val="0"/>
          <w:bCs w:val="0"/>
          <w:color w:val="auto"/>
          <w:sz w:val="28"/>
          <w:szCs w:val="28"/>
          <w:u w:val="none"/>
        </w:rPr>
        <w:t>优化</w:t>
      </w:r>
      <w:r>
        <w:rPr>
          <w:rFonts w:hint="eastAsia" w:ascii="仿宋_GB2312" w:hAnsi="仿宋_GB2312" w:eastAsia="仿宋_GB2312" w:cs="仿宋_GB2312"/>
          <w:b w:val="0"/>
          <w:bCs w:val="0"/>
          <w:color w:val="auto"/>
          <w:sz w:val="28"/>
          <w:szCs w:val="28"/>
          <w:u w:val="none"/>
          <w:lang w:eastAsia="zh-CN"/>
        </w:rPr>
        <w:t>职业院校</w:t>
      </w:r>
      <w:r>
        <w:rPr>
          <w:rFonts w:hint="eastAsia" w:ascii="仿宋_GB2312" w:hAnsi="仿宋_GB2312" w:eastAsia="仿宋_GB2312" w:cs="仿宋_GB2312"/>
          <w:b w:val="0"/>
          <w:bCs w:val="0"/>
          <w:color w:val="auto"/>
          <w:sz w:val="28"/>
          <w:szCs w:val="28"/>
          <w:u w:val="none"/>
        </w:rPr>
        <w:t>专业布局，引导</w:t>
      </w:r>
      <w:r>
        <w:rPr>
          <w:rFonts w:hint="eastAsia" w:ascii="仿宋_GB2312" w:hAnsi="仿宋_GB2312" w:eastAsia="仿宋_GB2312" w:cs="仿宋_GB2312"/>
          <w:b w:val="0"/>
          <w:bCs w:val="0"/>
          <w:color w:val="auto"/>
          <w:sz w:val="28"/>
          <w:szCs w:val="28"/>
          <w:u w:val="none"/>
          <w:lang w:eastAsia="zh-CN"/>
        </w:rPr>
        <w:t>职业院校</w:t>
      </w:r>
      <w:r>
        <w:rPr>
          <w:rFonts w:hint="eastAsia" w:ascii="仿宋_GB2312" w:hAnsi="仿宋_GB2312" w:eastAsia="仿宋_GB2312" w:cs="仿宋_GB2312"/>
          <w:b w:val="0"/>
          <w:bCs w:val="0"/>
          <w:color w:val="auto"/>
          <w:sz w:val="28"/>
          <w:szCs w:val="28"/>
          <w:u w:val="none"/>
        </w:rPr>
        <w:t>建立紧密对接产业链、创新链的专业体系</w:t>
      </w:r>
      <w:r>
        <w:rPr>
          <w:rFonts w:hint="eastAsia" w:ascii="仿宋_GB2312" w:hAnsi="仿宋_GB2312" w:eastAsia="仿宋_GB2312" w:cs="仿宋_GB2312"/>
          <w:b w:val="0"/>
          <w:bCs w:val="0"/>
          <w:color w:val="auto"/>
          <w:sz w:val="28"/>
          <w:szCs w:val="28"/>
          <w:u w:val="none"/>
          <w:lang w:eastAsia="zh-CN"/>
        </w:rPr>
        <w:t>。</w:t>
      </w:r>
      <w:r>
        <w:rPr>
          <w:rFonts w:hint="eastAsia" w:ascii="仿宋_GB2312" w:hAnsi="仿宋_GB2312" w:eastAsia="仿宋_GB2312" w:cs="仿宋_GB2312"/>
          <w:b w:val="0"/>
          <w:bCs w:val="0"/>
          <w:color w:val="auto"/>
          <w:sz w:val="28"/>
          <w:szCs w:val="28"/>
          <w:u w:val="none"/>
        </w:rPr>
        <w:t>实施职业教育品牌示范专业和特色专业建设计划,紧紧围绕我市经济社会发展要求,重点建设</w:t>
      </w:r>
      <w:r>
        <w:rPr>
          <w:rFonts w:hint="eastAsia" w:ascii="仿宋_GB2312" w:hAnsi="仿宋_GB2312" w:eastAsia="仿宋_GB2312" w:cs="仿宋_GB2312"/>
          <w:b w:val="0"/>
          <w:bCs w:val="0"/>
          <w:color w:val="auto"/>
          <w:sz w:val="28"/>
          <w:szCs w:val="28"/>
          <w:u w:val="none"/>
          <w:lang w:val="en-US" w:eastAsia="zh-CN"/>
        </w:rPr>
        <w:t>5</w:t>
      </w:r>
      <w:r>
        <w:rPr>
          <w:rFonts w:hint="eastAsia" w:ascii="仿宋_GB2312" w:hAnsi="仿宋_GB2312" w:eastAsia="仿宋_GB2312" w:cs="仿宋_GB2312"/>
          <w:b w:val="0"/>
          <w:bCs w:val="0"/>
          <w:color w:val="auto"/>
          <w:sz w:val="28"/>
          <w:szCs w:val="28"/>
          <w:u w:val="none"/>
        </w:rPr>
        <w:t>个左右品牌示范专业点和</w:t>
      </w:r>
      <w:r>
        <w:rPr>
          <w:rFonts w:hint="eastAsia" w:ascii="仿宋_GB2312" w:hAnsi="仿宋_GB2312" w:eastAsia="仿宋_GB2312" w:cs="仿宋_GB2312"/>
          <w:b w:val="0"/>
          <w:bCs w:val="0"/>
          <w:color w:val="auto"/>
          <w:sz w:val="28"/>
          <w:szCs w:val="28"/>
          <w:u w:val="none"/>
          <w:lang w:val="en-US" w:eastAsia="zh-CN"/>
        </w:rPr>
        <w:t>10</w:t>
      </w:r>
      <w:r>
        <w:rPr>
          <w:rFonts w:hint="eastAsia" w:ascii="仿宋_GB2312" w:hAnsi="仿宋_GB2312" w:eastAsia="仿宋_GB2312" w:cs="仿宋_GB2312"/>
          <w:b w:val="0"/>
          <w:bCs w:val="0"/>
          <w:color w:val="auto"/>
          <w:sz w:val="28"/>
          <w:szCs w:val="28"/>
          <w:u w:val="none"/>
        </w:rPr>
        <w:t>个左右特色专业点</w:t>
      </w:r>
      <w:r>
        <w:rPr>
          <w:rFonts w:hint="eastAsia" w:ascii="仿宋_GB2312" w:hAnsi="仿宋_GB2312" w:eastAsia="仿宋_GB2312" w:cs="仿宋_GB2312"/>
          <w:b w:val="0"/>
          <w:bCs w:val="0"/>
          <w:color w:val="auto"/>
          <w:sz w:val="28"/>
          <w:szCs w:val="28"/>
          <w:u w:val="none"/>
          <w:lang w:eastAsia="zh-CN"/>
        </w:rPr>
        <w:t>，</w:t>
      </w:r>
      <w:r>
        <w:rPr>
          <w:rFonts w:hint="eastAsia" w:ascii="仿宋_GB2312" w:hAnsi="仿宋_GB2312" w:eastAsia="仿宋_GB2312" w:cs="仿宋_GB2312"/>
          <w:b w:val="0"/>
          <w:bCs w:val="0"/>
          <w:color w:val="auto"/>
          <w:sz w:val="28"/>
          <w:szCs w:val="28"/>
          <w:u w:val="none"/>
        </w:rPr>
        <w:t>通过培育专业特色,打造专业品牌,提升专业建设与产业发展的符合度、依存度和贡献度,推动专业建设与产业需求有效对接。</w:t>
      </w:r>
      <w:r>
        <w:rPr>
          <w:rFonts w:hint="eastAsia" w:ascii="仿宋_GB2312" w:hAnsi="仿宋_GB2312" w:eastAsia="仿宋_GB2312" w:cs="仿宋_GB2312"/>
          <w:b w:val="0"/>
          <w:bCs w:val="0"/>
          <w:color w:val="auto"/>
          <w:sz w:val="28"/>
          <w:szCs w:val="28"/>
        </w:rPr>
        <w:t>深化职业教育教师、教材、教法改革。加强“双师型”教师队伍建设，完善职业学校“双师型”教师认定标准和认定办法，健全校企互聘兼职的教师管理制度。强化学生实习实训，确保实践性教学学时占总学时数一半以上。推动职业教育竞赛活动体系化、教学化、全员化。建立职业教育教学工作合格评估机制，完善职业学校教学工作诊断与改进制度</w:t>
      </w:r>
      <w:r>
        <w:rPr>
          <w:rFonts w:hint="eastAsia" w:ascii="仿宋_GB2312" w:hAnsi="仿宋_GB2312" w:eastAsia="仿宋_GB2312" w:cs="仿宋_GB2312"/>
          <w:b w:val="0"/>
          <w:bCs w:val="0"/>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楷体" w:hAnsi="楷体" w:eastAsia="楷体" w:cs="楷体"/>
          <w:b/>
          <w:bCs/>
          <w:color w:val="auto"/>
          <w:sz w:val="28"/>
          <w:szCs w:val="28"/>
        </w:rPr>
      </w:pPr>
      <w:bookmarkStart w:id="69" w:name="_Toc10110"/>
      <w:bookmarkStart w:id="70" w:name="_Toc16143"/>
      <w:r>
        <w:rPr>
          <w:rFonts w:hint="eastAsia" w:ascii="楷体" w:hAnsi="楷体" w:eastAsia="楷体" w:cs="楷体"/>
          <w:b/>
          <w:bCs/>
          <w:color w:val="auto"/>
          <w:sz w:val="28"/>
          <w:szCs w:val="28"/>
          <w:lang w:eastAsia="zh-CN"/>
        </w:rPr>
        <w:t>（二）</w:t>
      </w:r>
      <w:r>
        <w:rPr>
          <w:rFonts w:hint="eastAsia" w:ascii="楷体" w:hAnsi="楷体" w:eastAsia="楷体" w:cs="楷体"/>
          <w:b/>
          <w:bCs/>
          <w:color w:val="auto"/>
          <w:sz w:val="28"/>
          <w:szCs w:val="28"/>
        </w:rPr>
        <w:t>深化产教融合校企合作</w:t>
      </w:r>
      <w:bookmarkEnd w:id="69"/>
      <w:bookmarkEnd w:id="70"/>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rPr>
        <w:t>实施产教融合发展行动计划。深入落实《驻马店市深化产教融合促进高质量跨越发展实施方案》，建立完善政府、行业、企业、学校、社会协同推进的产教融合、校企合作工作机制，</w:t>
      </w:r>
      <w:r>
        <w:rPr>
          <w:rFonts w:hint="eastAsia" w:ascii="仿宋_GB2312" w:hAnsi="仿宋_GB2312" w:eastAsia="仿宋_GB2312" w:cs="仿宋_GB2312"/>
          <w:b w:val="0"/>
          <w:bCs w:val="0"/>
          <w:color w:val="auto"/>
          <w:sz w:val="28"/>
          <w:szCs w:val="28"/>
          <w:lang w:val="en-US" w:eastAsia="zh-CN"/>
        </w:rPr>
        <w:t>充分发挥22个市产教融合战略联盟的作用</w:t>
      </w:r>
      <w:r>
        <w:rPr>
          <w:rFonts w:hint="eastAsia" w:ascii="仿宋_GB2312" w:hAnsi="仿宋_GB2312" w:eastAsia="仿宋_GB2312" w:cs="仿宋_GB2312"/>
          <w:b w:val="0"/>
          <w:bCs w:val="0"/>
          <w:color w:val="auto"/>
          <w:sz w:val="28"/>
          <w:szCs w:val="28"/>
        </w:rPr>
        <w:t>，围绕驻马店“十四五”时期的制造业高质量发展行动</w:t>
      </w:r>
      <w:r>
        <w:rPr>
          <w:rFonts w:hint="eastAsia" w:ascii="仿宋_GB2312" w:hAnsi="仿宋_GB2312" w:eastAsia="仿宋_GB2312" w:cs="仿宋_GB2312"/>
          <w:b w:val="0"/>
          <w:bCs w:val="0"/>
          <w:color w:val="auto"/>
          <w:sz w:val="28"/>
          <w:szCs w:val="28"/>
          <w:lang w:eastAsia="zh-CN"/>
        </w:rPr>
        <w:t>、中心</w:t>
      </w:r>
      <w:r>
        <w:rPr>
          <w:rFonts w:hint="eastAsia" w:ascii="仿宋_GB2312" w:hAnsi="仿宋_GB2312" w:eastAsia="仿宋_GB2312" w:cs="仿宋_GB2312"/>
          <w:b w:val="0"/>
          <w:bCs w:val="0"/>
          <w:color w:val="auto"/>
          <w:sz w:val="28"/>
          <w:szCs w:val="28"/>
        </w:rPr>
        <w:t>城区和县域经济提速行动等</w:t>
      </w:r>
      <w:r>
        <w:rPr>
          <w:rFonts w:hint="eastAsia" w:ascii="仿宋_GB2312" w:hAnsi="仿宋_GB2312" w:eastAsia="仿宋_GB2312" w:cs="仿宋_GB2312"/>
          <w:b w:val="0"/>
          <w:bCs w:val="0"/>
          <w:color w:val="auto"/>
          <w:sz w:val="28"/>
          <w:szCs w:val="28"/>
          <w:lang w:eastAsia="zh-CN"/>
        </w:rPr>
        <w:t>，</w:t>
      </w:r>
      <w:r>
        <w:rPr>
          <w:rFonts w:hint="eastAsia" w:ascii="仿宋_GB2312" w:hAnsi="仿宋_GB2312" w:eastAsia="仿宋_GB2312" w:cs="仿宋_GB2312"/>
          <w:b w:val="0"/>
          <w:bCs w:val="0"/>
          <w:color w:val="auto"/>
          <w:sz w:val="28"/>
          <w:szCs w:val="28"/>
        </w:rPr>
        <w:t>推动职业院校和行业企业形成命运共同体</w:t>
      </w:r>
      <w:r>
        <w:rPr>
          <w:rFonts w:hint="eastAsia" w:ascii="仿宋_GB2312" w:hAnsi="仿宋_GB2312" w:eastAsia="仿宋_GB2312" w:cs="仿宋_GB2312"/>
          <w:b w:val="0"/>
          <w:bCs w:val="0"/>
          <w:color w:val="auto"/>
          <w:sz w:val="28"/>
          <w:szCs w:val="28"/>
          <w:lang w:eastAsia="zh-CN"/>
        </w:rPr>
        <w:t>，</w:t>
      </w:r>
      <w:r>
        <w:rPr>
          <w:rFonts w:hint="eastAsia" w:ascii="仿宋_GB2312" w:hAnsi="仿宋_GB2312" w:eastAsia="仿宋_GB2312" w:cs="仿宋_GB2312"/>
          <w:b w:val="0"/>
          <w:bCs w:val="0"/>
          <w:color w:val="auto"/>
          <w:sz w:val="28"/>
          <w:szCs w:val="28"/>
          <w:lang w:val="en-US" w:eastAsia="zh-CN"/>
        </w:rPr>
        <w:t>共同培养输送大批地方经济社会发展急需的</w:t>
      </w:r>
      <w:r>
        <w:rPr>
          <w:rFonts w:hint="eastAsia" w:ascii="仿宋_GB2312" w:hAnsi="仿宋_GB2312" w:eastAsia="仿宋_GB2312" w:cs="仿宋_GB2312"/>
          <w:b w:val="0"/>
          <w:bCs w:val="0"/>
          <w:color w:val="auto"/>
          <w:sz w:val="28"/>
          <w:szCs w:val="28"/>
        </w:rPr>
        <w:t>高技能</w:t>
      </w:r>
      <w:r>
        <w:rPr>
          <w:rFonts w:hint="eastAsia" w:ascii="仿宋_GB2312" w:hAnsi="仿宋_GB2312" w:eastAsia="仿宋_GB2312" w:cs="仿宋_GB2312"/>
          <w:b w:val="0"/>
          <w:bCs w:val="0"/>
          <w:color w:val="auto"/>
          <w:sz w:val="28"/>
          <w:szCs w:val="28"/>
          <w:lang w:eastAsia="zh-CN"/>
        </w:rPr>
        <w:t>、</w:t>
      </w:r>
      <w:r>
        <w:rPr>
          <w:rFonts w:hint="eastAsia" w:ascii="仿宋_GB2312" w:hAnsi="仿宋_GB2312" w:eastAsia="仿宋_GB2312" w:cs="仿宋_GB2312"/>
          <w:b w:val="0"/>
          <w:bCs w:val="0"/>
          <w:color w:val="auto"/>
          <w:sz w:val="28"/>
          <w:szCs w:val="28"/>
        </w:rPr>
        <w:t>复合型、多层次人才。以</w:t>
      </w:r>
      <w:r>
        <w:rPr>
          <w:rFonts w:hint="eastAsia" w:ascii="仿宋_GB2312" w:hAnsi="仿宋_GB2312" w:eastAsia="仿宋_GB2312" w:cs="仿宋_GB2312"/>
          <w:b w:val="0"/>
          <w:bCs w:val="0"/>
          <w:color w:val="auto"/>
          <w:sz w:val="28"/>
          <w:szCs w:val="28"/>
          <w:lang w:val="en-US" w:eastAsia="zh-CN"/>
        </w:rPr>
        <w:t>驻马店职业技术学院</w:t>
      </w:r>
      <w:r>
        <w:rPr>
          <w:rFonts w:hint="eastAsia" w:ascii="仿宋_GB2312" w:hAnsi="仿宋_GB2312" w:eastAsia="仿宋_GB2312" w:cs="仿宋_GB2312"/>
          <w:b w:val="0"/>
          <w:bCs w:val="0"/>
          <w:color w:val="auto"/>
          <w:sz w:val="28"/>
          <w:szCs w:val="28"/>
        </w:rPr>
        <w:t>为</w:t>
      </w:r>
      <w:r>
        <w:rPr>
          <w:rFonts w:hint="eastAsia" w:ascii="仿宋_GB2312" w:hAnsi="仿宋_GB2312" w:eastAsia="仿宋_GB2312" w:cs="仿宋_GB2312"/>
          <w:b w:val="0"/>
          <w:bCs w:val="0"/>
          <w:color w:val="auto"/>
          <w:sz w:val="28"/>
          <w:szCs w:val="28"/>
          <w:lang w:val="en-US" w:eastAsia="zh-CN"/>
        </w:rPr>
        <w:t>牵头单位</w:t>
      </w:r>
      <w:r>
        <w:rPr>
          <w:rFonts w:hint="eastAsia" w:ascii="仿宋_GB2312" w:hAnsi="仿宋_GB2312" w:eastAsia="仿宋_GB2312" w:cs="仿宋_GB2312"/>
          <w:b w:val="0"/>
          <w:bCs w:val="0"/>
          <w:color w:val="auto"/>
          <w:sz w:val="28"/>
          <w:szCs w:val="28"/>
        </w:rPr>
        <w:t>，</w:t>
      </w:r>
      <w:r>
        <w:rPr>
          <w:rFonts w:hint="eastAsia" w:ascii="仿宋_GB2312" w:hAnsi="仿宋_GB2312" w:eastAsia="仿宋_GB2312" w:cs="仿宋_GB2312"/>
          <w:b w:val="0"/>
          <w:bCs w:val="0"/>
          <w:color w:val="auto"/>
          <w:sz w:val="28"/>
          <w:szCs w:val="28"/>
          <w:lang w:val="en-US" w:eastAsia="zh-CN"/>
        </w:rPr>
        <w:t>组建</w:t>
      </w:r>
      <w:r>
        <w:rPr>
          <w:rFonts w:hint="eastAsia" w:ascii="仿宋_GB2312" w:hAnsi="仿宋_GB2312" w:eastAsia="仿宋_GB2312" w:cs="仿宋_GB2312"/>
          <w:b w:val="0"/>
          <w:bCs w:val="0"/>
          <w:color w:val="auto"/>
          <w:sz w:val="28"/>
          <w:szCs w:val="28"/>
        </w:rPr>
        <w:t>驻马店职业教育</w:t>
      </w:r>
      <w:r>
        <w:rPr>
          <w:rFonts w:hint="eastAsia" w:ascii="仿宋_GB2312" w:hAnsi="仿宋_GB2312" w:eastAsia="仿宋_GB2312" w:cs="仿宋_GB2312"/>
          <w:b w:val="0"/>
          <w:bCs w:val="0"/>
          <w:color w:val="auto"/>
          <w:sz w:val="28"/>
          <w:szCs w:val="28"/>
          <w:lang w:val="en-US" w:eastAsia="zh-CN"/>
        </w:rPr>
        <w:t>联盟，推动市职教园区</w:t>
      </w:r>
      <w:r>
        <w:rPr>
          <w:rFonts w:hint="eastAsia" w:ascii="仿宋_GB2312" w:hAnsi="仿宋_GB2312" w:eastAsia="仿宋_GB2312" w:cs="仿宋_GB2312"/>
          <w:b w:val="0"/>
          <w:bCs w:val="0"/>
          <w:color w:val="auto"/>
          <w:sz w:val="28"/>
          <w:szCs w:val="28"/>
        </w:rPr>
        <w:t>内院校资源共建、共享、共用、互补。推动专业紧密对接产业</w:t>
      </w:r>
      <w:r>
        <w:rPr>
          <w:rFonts w:hint="eastAsia" w:ascii="仿宋_GB2312" w:hAnsi="仿宋_GB2312" w:eastAsia="仿宋_GB2312" w:cs="仿宋_GB2312"/>
          <w:b w:val="0"/>
          <w:bCs w:val="0"/>
          <w:color w:val="auto"/>
          <w:sz w:val="28"/>
          <w:szCs w:val="28"/>
          <w:lang w:eastAsia="zh-CN"/>
        </w:rPr>
        <w:t>，</w:t>
      </w:r>
      <w:r>
        <w:rPr>
          <w:rFonts w:hint="eastAsia" w:ascii="仿宋_GB2312" w:hAnsi="仿宋_GB2312" w:eastAsia="仿宋_GB2312" w:cs="仿宋_GB2312"/>
          <w:b w:val="0"/>
          <w:bCs w:val="0"/>
          <w:color w:val="auto"/>
          <w:sz w:val="28"/>
          <w:szCs w:val="28"/>
        </w:rPr>
        <w:t>面向驻马店</w:t>
      </w:r>
      <w:r>
        <w:rPr>
          <w:rFonts w:hint="eastAsia" w:ascii="仿宋_GB2312" w:hAnsi="仿宋_GB2312" w:eastAsia="仿宋_GB2312" w:cs="仿宋_GB2312"/>
          <w:b w:val="0"/>
          <w:bCs w:val="0"/>
          <w:snapToGrid w:val="0"/>
          <w:color w:val="auto"/>
          <w:spacing w:val="0"/>
          <w:sz w:val="28"/>
          <w:szCs w:val="28"/>
        </w:rPr>
        <w:t>优势特色产业，动态调整优化职业教育专业层次结构，推动职业教育专业链与人才链、产业链同频共振。</w:t>
      </w:r>
      <w:r>
        <w:rPr>
          <w:rFonts w:hint="eastAsia" w:ascii="仿宋_GB2312" w:hAnsi="仿宋_GB2312" w:eastAsia="仿宋_GB2312" w:cs="仿宋_GB2312"/>
          <w:b w:val="0"/>
          <w:bCs w:val="0"/>
          <w:color w:val="auto"/>
          <w:sz w:val="28"/>
          <w:szCs w:val="28"/>
          <w:lang w:val="en-US" w:eastAsia="zh-CN"/>
        </w:rPr>
        <w:t>力争</w:t>
      </w:r>
      <w:r>
        <w:rPr>
          <w:rFonts w:hint="eastAsia" w:ascii="仿宋_GB2312" w:hAnsi="仿宋_GB2312" w:eastAsia="仿宋_GB2312" w:cs="仿宋_GB2312"/>
          <w:b w:val="0"/>
          <w:bCs w:val="0"/>
          <w:color w:val="auto"/>
          <w:sz w:val="28"/>
          <w:szCs w:val="28"/>
        </w:rPr>
        <w:t>建设3所省级示范性产教融合型职业院校、2个基于产教融合的示范性产业学院，</w:t>
      </w:r>
      <w:r>
        <w:rPr>
          <w:rFonts w:hint="eastAsia" w:ascii="仿宋_GB2312" w:hAnsi="仿宋_GB2312" w:eastAsia="仿宋_GB2312" w:cs="仿宋_GB2312"/>
          <w:b w:val="0"/>
          <w:bCs w:val="0"/>
          <w:color w:val="auto"/>
          <w:sz w:val="28"/>
          <w:szCs w:val="28"/>
          <w:lang w:val="en-US" w:eastAsia="zh-CN"/>
        </w:rPr>
        <w:t>努力</w:t>
      </w:r>
      <w:r>
        <w:rPr>
          <w:rFonts w:hint="eastAsia" w:ascii="仿宋_GB2312" w:hAnsi="仿宋_GB2312" w:eastAsia="仿宋_GB2312" w:cs="仿宋_GB2312"/>
          <w:b w:val="0"/>
          <w:bCs w:val="0"/>
          <w:color w:val="auto"/>
          <w:sz w:val="28"/>
          <w:szCs w:val="28"/>
        </w:rPr>
        <w:t>将驻马店建成省级产教融合型城市。继续办好“产教融合发展战略国际论坛（IFIE）</w:t>
      </w:r>
      <w:r>
        <w:rPr>
          <w:rFonts w:hint="eastAsia" w:ascii="仿宋_GB2312" w:hAnsi="仿宋_GB2312" w:eastAsia="仿宋_GB2312" w:cs="仿宋_GB2312"/>
          <w:b w:val="0"/>
          <w:bCs w:val="0"/>
          <w:color w:val="auto"/>
          <w:sz w:val="28"/>
          <w:szCs w:val="28"/>
          <w:lang w:eastAsia="zh-CN"/>
        </w:rPr>
        <w:t>”</w:t>
      </w:r>
      <w:r>
        <w:rPr>
          <w:rFonts w:hint="eastAsia" w:ascii="仿宋_GB2312" w:hAnsi="仿宋_GB2312" w:eastAsia="仿宋_GB2312" w:cs="仿宋_GB2312"/>
          <w:b w:val="0"/>
          <w:bCs w:val="0"/>
          <w:color w:val="auto"/>
          <w:sz w:val="28"/>
          <w:szCs w:val="28"/>
        </w:rPr>
        <w:t>，围绕</w:t>
      </w:r>
      <w:r>
        <w:rPr>
          <w:rFonts w:hint="eastAsia" w:ascii="仿宋_GB2312" w:hAnsi="仿宋_GB2312" w:eastAsia="仿宋_GB2312" w:cs="仿宋_GB2312"/>
          <w:b w:val="0"/>
          <w:bCs w:val="0"/>
          <w:color w:val="auto"/>
          <w:sz w:val="28"/>
          <w:szCs w:val="28"/>
          <w:lang w:eastAsia="zh-CN"/>
        </w:rPr>
        <w:t>“</w:t>
      </w:r>
      <w:r>
        <w:rPr>
          <w:rFonts w:hint="eastAsia" w:ascii="仿宋_GB2312" w:hAnsi="仿宋_GB2312" w:eastAsia="仿宋_GB2312" w:cs="仿宋_GB2312"/>
          <w:b w:val="0"/>
          <w:bCs w:val="0"/>
          <w:color w:val="auto"/>
          <w:sz w:val="28"/>
          <w:szCs w:val="28"/>
        </w:rPr>
        <w:t>产教融合</w:t>
      </w:r>
      <w:r>
        <w:rPr>
          <w:rFonts w:hint="eastAsia" w:ascii="仿宋_GB2312" w:hAnsi="仿宋_GB2312" w:eastAsia="仿宋_GB2312" w:cs="仿宋_GB2312"/>
          <w:b w:val="0"/>
          <w:bCs w:val="0"/>
          <w:color w:val="auto"/>
          <w:sz w:val="28"/>
          <w:szCs w:val="28"/>
          <w:lang w:eastAsia="zh-CN"/>
        </w:rPr>
        <w:t>”</w:t>
      </w:r>
      <w:r>
        <w:rPr>
          <w:rFonts w:hint="eastAsia" w:ascii="仿宋_GB2312" w:hAnsi="仿宋_GB2312" w:eastAsia="仿宋_GB2312" w:cs="仿宋_GB2312"/>
          <w:b w:val="0"/>
          <w:bCs w:val="0"/>
          <w:color w:val="auto"/>
          <w:sz w:val="28"/>
          <w:szCs w:val="28"/>
        </w:rPr>
        <w:t>主线探讨新时代类型教育的历史方位与未来方向</w:t>
      </w:r>
      <w:r>
        <w:rPr>
          <w:rFonts w:hint="eastAsia" w:ascii="仿宋_GB2312" w:hAnsi="仿宋_GB2312" w:eastAsia="仿宋_GB2312" w:cs="仿宋_GB2312"/>
          <w:b w:val="0"/>
          <w:bCs w:val="0"/>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b w:val="0"/>
          <w:bCs w:val="0"/>
          <w:color w:val="auto"/>
          <w:sz w:val="28"/>
          <w:szCs w:val="28"/>
          <w:lang w:val="en-US"/>
        </w:rPr>
      </w:pPr>
      <w:r>
        <w:rPr>
          <w:rFonts w:hint="eastAsia" w:ascii="仿宋_GB2312" w:hAnsi="仿宋_GB2312" w:eastAsia="仿宋_GB2312" w:cs="仿宋_GB2312"/>
          <w:b w:val="0"/>
          <w:bCs w:val="0"/>
          <w:color w:val="auto"/>
          <w:kern w:val="0"/>
          <w:sz w:val="28"/>
          <w:szCs w:val="28"/>
          <w:lang w:eastAsia="zh-CN"/>
        </w:rPr>
        <w:t>完善校企合作激励政策</w:t>
      </w:r>
      <w:r>
        <w:rPr>
          <w:rFonts w:hint="eastAsia" w:ascii="仿宋_GB2312" w:hAnsi="仿宋_GB2312" w:eastAsia="仿宋_GB2312" w:cs="仿宋_GB2312"/>
          <w:b w:val="0"/>
          <w:bCs w:val="0"/>
          <w:color w:val="auto"/>
          <w:kern w:val="0"/>
          <w:sz w:val="28"/>
          <w:szCs w:val="28"/>
        </w:rPr>
        <w:t>。</w:t>
      </w:r>
      <w:r>
        <w:rPr>
          <w:rFonts w:hint="eastAsia" w:ascii="仿宋_GB2312" w:hAnsi="仿宋_GB2312" w:eastAsia="仿宋_GB2312" w:cs="仿宋_GB2312"/>
          <w:b w:val="0"/>
          <w:bCs w:val="0"/>
          <w:color w:val="auto"/>
          <w:sz w:val="28"/>
          <w:szCs w:val="28"/>
          <w:u w:val="none"/>
          <w:lang w:val="en-US" w:eastAsia="zh-CN"/>
        </w:rPr>
        <w:t>发挥企业重要办学主体作用，支持社会力量以股份制、混合所有制等形式举办或参与举办职业院校、二级学院和培训机构。</w:t>
      </w:r>
      <w:r>
        <w:rPr>
          <w:rFonts w:hint="eastAsia" w:ascii="仿宋_GB2312" w:hAnsi="仿宋_GB2312" w:eastAsia="仿宋_GB2312" w:cs="仿宋_GB2312"/>
          <w:b w:val="0"/>
          <w:bCs w:val="0"/>
          <w:color w:val="auto"/>
          <w:kern w:val="0"/>
          <w:sz w:val="28"/>
          <w:szCs w:val="28"/>
        </w:rPr>
        <w:t>厚植企业承担职业教育责任的社会环境，推动职业院校和行业企业形成命运共同体。</w:t>
      </w:r>
      <w:r>
        <w:rPr>
          <w:rFonts w:hint="eastAsia" w:ascii="仿宋_GB2312" w:hAnsi="仿宋_GB2312" w:eastAsia="仿宋_GB2312" w:cs="仿宋_GB2312"/>
          <w:b w:val="0"/>
          <w:bCs w:val="0"/>
          <w:color w:val="auto"/>
          <w:kern w:val="0"/>
          <w:sz w:val="28"/>
          <w:szCs w:val="28"/>
          <w:lang w:eastAsia="zh-CN"/>
        </w:rPr>
        <w:t>探索</w:t>
      </w:r>
      <w:r>
        <w:rPr>
          <w:rFonts w:hint="eastAsia" w:ascii="仿宋_GB2312" w:hAnsi="仿宋_GB2312" w:eastAsia="仿宋_GB2312" w:cs="仿宋_GB2312"/>
          <w:b w:val="0"/>
          <w:bCs w:val="0"/>
          <w:i w:val="0"/>
          <w:iCs w:val="0"/>
          <w:caps w:val="0"/>
          <w:color w:val="auto"/>
          <w:spacing w:val="0"/>
          <w:sz w:val="28"/>
          <w:szCs w:val="28"/>
          <w:shd w:val="clear" w:color="auto" w:fill="FFFFFF"/>
        </w:rPr>
        <w:t>建立企业根据校企合作办学成本获得合理回报机制，调动企业参与校企合作的积极性。</w:t>
      </w:r>
      <w:r>
        <w:rPr>
          <w:rFonts w:hint="eastAsia" w:ascii="仿宋_GB2312" w:hAnsi="仿宋_GB2312" w:eastAsia="仿宋_GB2312" w:cs="仿宋_GB2312"/>
          <w:b w:val="0"/>
          <w:bCs w:val="0"/>
          <w:color w:val="auto"/>
          <w:kern w:val="0"/>
          <w:sz w:val="28"/>
          <w:szCs w:val="28"/>
        </w:rPr>
        <w:t>企业兴办职业教育的投资符合条件的，可按投资额一定比例抵免该企业当年应缴教育费附加和地方教育附加。</w:t>
      </w:r>
      <w:r>
        <w:rPr>
          <w:rFonts w:hint="eastAsia" w:ascii="仿宋_GB2312" w:hAnsi="仿宋_GB2312" w:eastAsia="仿宋_GB2312" w:cs="仿宋_GB2312"/>
          <w:b w:val="0"/>
          <w:bCs w:val="0"/>
          <w:color w:val="auto"/>
          <w:sz w:val="28"/>
          <w:szCs w:val="28"/>
          <w:lang w:eastAsia="zh-CN"/>
        </w:rPr>
        <w:t>对纳入产教融合型企业建设培育范围的试点企业，兴办职业教育的投资符合规定的，可按投资额的</w:t>
      </w:r>
      <w:r>
        <w:rPr>
          <w:rFonts w:hint="eastAsia" w:ascii="仿宋_GB2312" w:hAnsi="仿宋_GB2312" w:eastAsia="仿宋_GB2312" w:cs="仿宋_GB2312"/>
          <w:b w:val="0"/>
          <w:bCs w:val="0"/>
          <w:color w:val="auto"/>
          <w:sz w:val="28"/>
          <w:szCs w:val="28"/>
          <w:lang w:val="en-US" w:eastAsia="zh-CN"/>
        </w:rPr>
        <w:t>30%抵免该企业当年应缴教育费附加和地方教育附加。</w:t>
      </w:r>
      <w:r>
        <w:rPr>
          <w:rFonts w:hint="eastAsia" w:ascii="仿宋_GB2312" w:hAnsi="仿宋_GB2312" w:eastAsia="仿宋_GB2312" w:cs="仿宋_GB2312"/>
          <w:b w:val="0"/>
          <w:bCs w:val="0"/>
          <w:color w:val="auto"/>
          <w:sz w:val="28"/>
          <w:szCs w:val="28"/>
        </w:rPr>
        <w:t>对接纳学生实习且实习时间累计1个月以上的当地企业，</w:t>
      </w:r>
      <w:r>
        <w:rPr>
          <w:rFonts w:hint="eastAsia" w:ascii="仿宋_GB2312" w:hAnsi="仿宋_GB2312" w:eastAsia="仿宋_GB2312" w:cs="仿宋_GB2312"/>
          <w:b w:val="0"/>
          <w:bCs w:val="0"/>
          <w:color w:val="auto"/>
          <w:sz w:val="28"/>
          <w:szCs w:val="28"/>
          <w:lang w:eastAsia="zh-CN"/>
        </w:rPr>
        <w:t>同级财政可</w:t>
      </w:r>
      <w:r>
        <w:rPr>
          <w:rFonts w:hint="eastAsia" w:ascii="仿宋_GB2312" w:hAnsi="仿宋_GB2312" w:eastAsia="仿宋_GB2312" w:cs="仿宋_GB2312"/>
          <w:b w:val="0"/>
          <w:bCs w:val="0"/>
          <w:color w:val="auto"/>
          <w:sz w:val="28"/>
          <w:szCs w:val="28"/>
        </w:rPr>
        <w:t>按每人每月200元的标准对企业给予奖励。</w:t>
      </w:r>
      <w:r>
        <w:rPr>
          <w:rFonts w:hint="eastAsia" w:ascii="仿宋_GB2312" w:hAnsi="仿宋_GB2312" w:eastAsia="仿宋_GB2312" w:cs="仿宋_GB2312"/>
          <w:b w:val="0"/>
          <w:bCs w:val="0"/>
          <w:color w:val="auto"/>
          <w:sz w:val="28"/>
          <w:szCs w:val="28"/>
          <w:u w:val="none"/>
          <w:lang w:val="en-US" w:eastAsia="zh-CN"/>
        </w:rPr>
        <w:t>对在推进产教融合校企合作中作出突出贡献的院校、企业、行业协会等予以表彰奖励。</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ascii="楷体" w:hAnsi="楷体" w:eastAsia="楷体" w:cs="楷体"/>
          <w:b w:val="0"/>
          <w:bCs w:val="0"/>
          <w:snapToGrid w:val="0"/>
          <w:color w:val="auto"/>
          <w:spacing w:val="0"/>
          <w:sz w:val="30"/>
        </w:rPr>
      </w:pPr>
      <w:bookmarkStart w:id="71" w:name="_Toc4029"/>
      <w:bookmarkStart w:id="72" w:name="_Toc1138"/>
      <w:r>
        <w:rPr>
          <w:rFonts w:hint="eastAsia" w:ascii="楷体" w:hAnsi="楷体" w:eastAsia="楷体" w:cs="楷体"/>
          <w:b w:val="0"/>
          <w:bCs w:val="0"/>
          <w:snapToGrid w:val="0"/>
          <w:color w:val="auto"/>
          <w:spacing w:val="0"/>
          <w:sz w:val="30"/>
        </w:rPr>
        <w:t>（三）推动技能型社会建设</w:t>
      </w:r>
      <w:bookmarkEnd w:id="71"/>
      <w:bookmarkEnd w:id="72"/>
    </w:p>
    <w:p>
      <w:pPr>
        <w:pStyle w:val="2"/>
        <w:keepNext w:val="0"/>
        <w:keepLines w:val="0"/>
        <w:pageBreakBefore w:val="0"/>
        <w:widowControl w:val="0"/>
        <w:kinsoku/>
        <w:wordWrap/>
        <w:overflowPunct/>
        <w:topLinePunct w:val="0"/>
        <w:autoSpaceDE/>
        <w:autoSpaceDN/>
        <w:bidi w:val="0"/>
        <w:adjustRightInd/>
        <w:snapToGrid/>
        <w:spacing w:line="540" w:lineRule="exact"/>
        <w:ind w:firstLine="629"/>
        <w:textAlignment w:val="auto"/>
        <w:rPr>
          <w:rFonts w:ascii="仿宋_GB2312" w:hAnsi="仿宋_GB2312" w:eastAsia="仿宋_GB2312" w:cs="仿宋_GB2312"/>
          <w:b w:val="0"/>
          <w:bCs w:val="0"/>
          <w:snapToGrid w:val="0"/>
          <w:color w:val="auto"/>
          <w:spacing w:val="0"/>
          <w:sz w:val="28"/>
          <w:szCs w:val="28"/>
        </w:rPr>
      </w:pPr>
      <w:r>
        <w:rPr>
          <w:rFonts w:hint="eastAsia" w:ascii="仿宋_GB2312" w:hAnsi="仿宋_GB2312" w:eastAsia="仿宋_GB2312" w:cs="仿宋_GB2312"/>
          <w:b w:val="0"/>
          <w:bCs w:val="0"/>
          <w:color w:val="auto"/>
          <w:sz w:val="28"/>
          <w:szCs w:val="28"/>
          <w:u w:val="none"/>
          <w:lang w:val="en-US" w:eastAsia="zh-CN"/>
        </w:rPr>
        <w:t>广泛开展高质量职业培训。</w:t>
      </w:r>
      <w:r>
        <w:rPr>
          <w:rFonts w:hint="eastAsia" w:ascii="仿宋_GB2312" w:hAnsi="仿宋_GB2312" w:eastAsia="仿宋_GB2312" w:cs="仿宋_GB2312"/>
          <w:b w:val="0"/>
          <w:bCs w:val="0"/>
          <w:snapToGrid w:val="0"/>
          <w:color w:val="auto"/>
          <w:spacing w:val="0"/>
          <w:sz w:val="28"/>
          <w:szCs w:val="28"/>
        </w:rPr>
        <w:t>落实</w:t>
      </w:r>
      <w:r>
        <w:rPr>
          <w:rFonts w:hint="eastAsia" w:ascii="仿宋_GB2312" w:hAnsi="仿宋_GB2312" w:eastAsia="仿宋_GB2312" w:cs="仿宋_GB2312"/>
          <w:b w:val="0"/>
          <w:bCs w:val="0"/>
          <w:snapToGrid w:val="0"/>
          <w:color w:val="auto"/>
          <w:spacing w:val="0"/>
          <w:sz w:val="28"/>
          <w:szCs w:val="28"/>
          <w:lang w:val="en-US" w:eastAsia="zh-CN"/>
        </w:rPr>
        <w:t>职业院校</w:t>
      </w:r>
      <w:r>
        <w:rPr>
          <w:rFonts w:hint="eastAsia" w:ascii="仿宋_GB2312" w:hAnsi="仿宋_GB2312" w:eastAsia="仿宋_GB2312" w:cs="仿宋_GB2312"/>
          <w:b w:val="0"/>
          <w:bCs w:val="0"/>
          <w:snapToGrid w:val="0"/>
          <w:color w:val="auto"/>
          <w:spacing w:val="0"/>
          <w:sz w:val="28"/>
          <w:szCs w:val="28"/>
        </w:rPr>
        <w:t>学历教育与培训并举的法定职责</w:t>
      </w:r>
      <w:r>
        <w:rPr>
          <w:rFonts w:hint="eastAsia" w:ascii="仿宋_GB2312" w:hAnsi="仿宋_GB2312" w:eastAsia="仿宋_GB2312" w:cs="仿宋_GB2312"/>
          <w:b w:val="0"/>
          <w:bCs w:val="0"/>
          <w:snapToGrid w:val="0"/>
          <w:color w:val="auto"/>
          <w:spacing w:val="0"/>
          <w:sz w:val="28"/>
          <w:szCs w:val="28"/>
          <w:lang w:eastAsia="zh-CN"/>
        </w:rPr>
        <w:t>，</w:t>
      </w:r>
      <w:r>
        <w:rPr>
          <w:rFonts w:hint="eastAsia" w:ascii="仿宋_GB2312" w:hAnsi="仿宋_GB2312" w:eastAsia="仿宋_GB2312" w:cs="仿宋_GB2312"/>
          <w:b w:val="0"/>
          <w:bCs w:val="0"/>
          <w:snapToGrid w:val="0"/>
          <w:color w:val="auto"/>
          <w:spacing w:val="0"/>
          <w:sz w:val="28"/>
          <w:szCs w:val="28"/>
          <w:lang w:val="en-US" w:eastAsia="zh-CN"/>
        </w:rPr>
        <w:t>深入推进“人人持证、技能河南”建设工作，</w:t>
      </w:r>
      <w:r>
        <w:rPr>
          <w:rFonts w:hint="eastAsia" w:ascii="仿宋_GB2312" w:hAnsi="仿宋_GB2312" w:eastAsia="仿宋_GB2312" w:cs="仿宋_GB2312"/>
          <w:b w:val="0"/>
          <w:bCs w:val="0"/>
          <w:snapToGrid w:val="0"/>
          <w:color w:val="auto"/>
          <w:spacing w:val="0"/>
          <w:sz w:val="28"/>
          <w:szCs w:val="28"/>
        </w:rPr>
        <w:t>按照育训结合、长短结合、内外结合的要求，面向社会广泛开展职业培训。积极扩大职业技能培训规模，优质职业学校年培训人次达到在校生规模的2倍以上。</w:t>
      </w:r>
      <w:r>
        <w:rPr>
          <w:rFonts w:hint="eastAsia" w:ascii="仿宋_GB2312" w:hAnsi="仿宋_GB2312" w:eastAsia="仿宋_GB2312" w:cs="仿宋_GB2312"/>
          <w:b w:val="0"/>
          <w:bCs w:val="0"/>
          <w:snapToGrid w:val="0"/>
          <w:color w:val="auto"/>
          <w:spacing w:val="0"/>
          <w:sz w:val="28"/>
          <w:szCs w:val="28"/>
          <w:lang w:val="en-US" w:eastAsia="zh-CN"/>
        </w:rPr>
        <w:t>推广</w:t>
      </w:r>
      <w:r>
        <w:rPr>
          <w:rFonts w:hint="eastAsia" w:ascii="仿宋_GB2312" w:hAnsi="仿宋_GB2312" w:eastAsia="仿宋_GB2312" w:cs="仿宋_GB2312"/>
          <w:b w:val="0"/>
          <w:bCs w:val="0"/>
          <w:snapToGrid w:val="0"/>
          <w:color w:val="auto"/>
          <w:spacing w:val="0"/>
          <w:sz w:val="28"/>
          <w:szCs w:val="28"/>
        </w:rPr>
        <w:t>实行1+X证书制度，提升职业技能等级证书“含金量”。</w:t>
      </w:r>
    </w:p>
    <w:p>
      <w:pPr>
        <w:pStyle w:val="2"/>
        <w:keepNext w:val="0"/>
        <w:keepLines w:val="0"/>
        <w:pageBreakBefore w:val="0"/>
        <w:widowControl w:val="0"/>
        <w:kinsoku/>
        <w:wordWrap/>
        <w:overflowPunct/>
        <w:topLinePunct w:val="0"/>
        <w:autoSpaceDE/>
        <w:autoSpaceDN/>
        <w:bidi w:val="0"/>
        <w:adjustRightInd/>
        <w:snapToGrid/>
        <w:spacing w:line="540" w:lineRule="exact"/>
        <w:ind w:firstLine="629"/>
        <w:textAlignment w:val="auto"/>
        <w:rPr>
          <w:rFonts w:hint="eastAsia" w:ascii="仿宋_GB2312" w:hAnsi="仿宋_GB2312" w:eastAsia="仿宋_GB2312" w:cs="仿宋_GB2312"/>
          <w:b w:val="0"/>
          <w:bCs w:val="0"/>
          <w:snapToGrid w:val="0"/>
          <w:color w:val="auto"/>
          <w:spacing w:val="0"/>
          <w:sz w:val="28"/>
          <w:szCs w:val="28"/>
        </w:rPr>
      </w:pPr>
      <w:r>
        <w:rPr>
          <w:rFonts w:hint="eastAsia" w:ascii="仿宋_GB2312" w:hAnsi="仿宋_GB2312" w:eastAsia="仿宋_GB2312" w:cs="仿宋_GB2312"/>
          <w:b w:val="0"/>
          <w:bCs w:val="0"/>
          <w:snapToGrid w:val="0"/>
          <w:color w:val="auto"/>
          <w:spacing w:val="0"/>
          <w:sz w:val="28"/>
          <w:szCs w:val="28"/>
        </w:rPr>
        <w:t>提高技术技能人才待遇。健全以职业能力为导向、以工作业绩为重点、注重工匠精神培育和职业道德养成的技能人才评价体系，完善符合技术技能人才特点的职称评审与职务职级晋升制度，建立职业技能等级认定与职称评审贯通机制。落实提高技术技能人才待遇有关政策，推动职业学校毕业生在落户、就业、参加机关企事业单位招聘、职称评聘、职务职级晋升等方面，与普通学校毕业生同等对待。加大对参加技能大赛成绩突出的职业学校毕业生表彰奖励力度。</w:t>
      </w:r>
    </w:p>
    <w:p>
      <w:pPr>
        <w:pStyle w:val="2"/>
        <w:keepNext w:val="0"/>
        <w:keepLines w:val="0"/>
        <w:pageBreakBefore w:val="0"/>
        <w:widowControl w:val="0"/>
        <w:kinsoku/>
        <w:wordWrap/>
        <w:overflowPunct/>
        <w:topLinePunct w:val="0"/>
        <w:autoSpaceDE/>
        <w:autoSpaceDN/>
        <w:bidi w:val="0"/>
        <w:adjustRightInd/>
        <w:snapToGrid/>
        <w:spacing w:line="540" w:lineRule="exact"/>
        <w:ind w:firstLine="629"/>
        <w:textAlignment w:val="auto"/>
        <w:rPr>
          <w:rFonts w:hint="eastAsia" w:ascii="仿宋_GB2312" w:hAnsi="仿宋_GB2312" w:eastAsia="仿宋_GB2312" w:cs="仿宋_GB2312"/>
          <w:b w:val="0"/>
          <w:bCs w:val="0"/>
          <w:snapToGrid w:val="0"/>
          <w:color w:val="auto"/>
          <w:spacing w:val="0"/>
          <w:sz w:val="28"/>
          <w:szCs w:val="28"/>
        </w:rPr>
      </w:pPr>
      <w:r>
        <w:rPr>
          <w:rFonts w:hint="eastAsia" w:ascii="仿宋_GB2312" w:hAnsi="仿宋_GB2312" w:eastAsia="仿宋_GB2312" w:cs="仿宋_GB2312"/>
          <w:b w:val="0"/>
          <w:bCs w:val="0"/>
          <w:color w:val="auto"/>
          <w:kern w:val="0"/>
          <w:sz w:val="28"/>
          <w:szCs w:val="28"/>
          <w:lang w:val="en-US" w:eastAsia="zh-CN"/>
        </w:rPr>
        <w:t>营造崇尚技能的社会氛围。将技术技能教育与劳动教育、职业启蒙教育深度融合，弘扬劳模精神、劳动精神、工匠精神。建立全面实施劳动教育的长效机制，在中小学开设劳动教育必修课程，确保每周不少于1课时。职业院校以实习实训课为主要载体开展劳动教育，其中劳动精神、劳模精神、工匠精神专题教育不少于16个学时。</w:t>
      </w:r>
      <w:r>
        <w:rPr>
          <w:rFonts w:hint="eastAsia" w:ascii="仿宋_GB2312" w:hAnsi="仿宋_GB2312" w:eastAsia="仿宋_GB2312" w:cs="仿宋_GB2312"/>
          <w:b w:val="0"/>
          <w:bCs w:val="0"/>
          <w:snapToGrid w:val="0"/>
          <w:color w:val="auto"/>
          <w:spacing w:val="0"/>
          <w:sz w:val="28"/>
          <w:szCs w:val="28"/>
        </w:rPr>
        <w:t>全面推进职业体验教育，建设</w:t>
      </w:r>
      <w:r>
        <w:rPr>
          <w:rFonts w:hint="eastAsia" w:ascii="仿宋_GB2312" w:hAnsi="仿宋_GB2312" w:eastAsia="仿宋_GB2312" w:cs="仿宋_GB2312"/>
          <w:b w:val="0"/>
          <w:bCs w:val="0"/>
          <w:snapToGrid w:val="0"/>
          <w:color w:val="auto"/>
          <w:spacing w:val="0"/>
          <w:sz w:val="28"/>
          <w:szCs w:val="28"/>
          <w:lang w:val="en-US" w:eastAsia="zh-CN"/>
        </w:rPr>
        <w:t>10</w:t>
      </w:r>
      <w:r>
        <w:rPr>
          <w:rFonts w:hint="eastAsia" w:ascii="仿宋_GB2312" w:hAnsi="仿宋_GB2312" w:eastAsia="仿宋_GB2312" w:cs="仿宋_GB2312"/>
          <w:b w:val="0"/>
          <w:bCs w:val="0"/>
          <w:snapToGrid w:val="0"/>
          <w:color w:val="auto"/>
          <w:spacing w:val="0"/>
          <w:sz w:val="28"/>
          <w:szCs w:val="28"/>
        </w:rPr>
        <w:t>个向社会开放的职业启蒙和职业体验基地</w:t>
      </w:r>
      <w:r>
        <w:rPr>
          <w:rFonts w:hint="eastAsia" w:ascii="仿宋_GB2312" w:hAnsi="仿宋_GB2312" w:eastAsia="仿宋_GB2312" w:cs="仿宋_GB2312"/>
          <w:b w:val="0"/>
          <w:bCs w:val="0"/>
          <w:snapToGrid w:val="0"/>
          <w:color w:val="auto"/>
          <w:spacing w:val="0"/>
          <w:sz w:val="28"/>
          <w:szCs w:val="28"/>
          <w:lang w:eastAsia="zh-CN"/>
        </w:rPr>
        <w:t>，</w:t>
      </w:r>
      <w:r>
        <w:rPr>
          <w:rFonts w:hint="eastAsia" w:ascii="仿宋_GB2312" w:hAnsi="仿宋_GB2312" w:eastAsia="仿宋_GB2312" w:cs="仿宋_GB2312"/>
          <w:b w:val="0"/>
          <w:bCs w:val="0"/>
          <w:color w:val="auto"/>
          <w:kern w:val="0"/>
          <w:sz w:val="28"/>
          <w:szCs w:val="28"/>
          <w:lang w:val="en-US" w:eastAsia="zh-CN"/>
        </w:rPr>
        <w:t>开展职业意识及通用技术技能教育。大力宣传技术技能人才和高素质劳动者的先进事迹和重要贡献，弘扬劳动光荣、技能宝贵、创造伟大的时代风尚，努力营造尊重技能、崇尚技能、学习技能的浓厚氛围。</w:t>
      </w:r>
    </w:p>
    <w:p>
      <w:pPr>
        <w:pStyle w:val="4"/>
        <w:pageBreakBefore w:val="0"/>
        <w:kinsoku/>
        <w:wordWrap/>
        <w:overflowPunct/>
        <w:topLinePunct w:val="0"/>
        <w:autoSpaceDE/>
        <w:autoSpaceDN/>
        <w:bidi w:val="0"/>
        <w:spacing w:line="540" w:lineRule="exact"/>
        <w:ind w:firstLine="642" w:firstLineChars="200"/>
        <w:jc w:val="left"/>
        <w:textAlignment w:val="auto"/>
        <w:rPr>
          <w:rFonts w:ascii="黑体" w:hAnsi="黑体" w:cs="宋体"/>
          <w:b/>
          <w:bCs/>
          <w:snapToGrid w:val="0"/>
          <w:color w:val="auto"/>
          <w:spacing w:val="0"/>
          <w:szCs w:val="32"/>
        </w:rPr>
      </w:pPr>
      <w:bookmarkStart w:id="73" w:name="五、提升高等教育质量"/>
      <w:bookmarkEnd w:id="73"/>
      <w:bookmarkStart w:id="74" w:name="_bookmark20"/>
      <w:bookmarkEnd w:id="74"/>
      <w:bookmarkStart w:id="75" w:name="_Toc13553"/>
      <w:bookmarkStart w:id="76" w:name="_Toc12702"/>
      <w:bookmarkStart w:id="77" w:name="_Toc24236"/>
      <w:r>
        <w:rPr>
          <w:rFonts w:hint="eastAsia" w:ascii="黑体" w:hAnsi="黑体"/>
          <w:b/>
          <w:bCs/>
          <w:snapToGrid w:val="0"/>
          <w:color w:val="auto"/>
          <w:spacing w:val="0"/>
          <w:szCs w:val="32"/>
        </w:rPr>
        <w:t>五、</w:t>
      </w:r>
      <w:r>
        <w:rPr>
          <w:rFonts w:hint="eastAsia" w:ascii="黑体" w:hAnsi="黑体" w:cs="宋体"/>
          <w:b/>
          <w:bCs/>
          <w:snapToGrid w:val="0"/>
          <w:color w:val="auto"/>
          <w:spacing w:val="0"/>
          <w:szCs w:val="32"/>
        </w:rPr>
        <w:t>加快高等教育发展步伐</w:t>
      </w:r>
      <w:bookmarkEnd w:id="75"/>
      <w:bookmarkEnd w:id="76"/>
      <w:bookmarkEnd w:id="77"/>
    </w:p>
    <w:p>
      <w:pPr>
        <w:pStyle w:val="2"/>
        <w:pageBreakBefore w:val="0"/>
        <w:kinsoku/>
        <w:wordWrap/>
        <w:overflowPunct/>
        <w:topLinePunct w:val="0"/>
        <w:autoSpaceDE/>
        <w:autoSpaceDN/>
        <w:bidi w:val="0"/>
        <w:spacing w:line="540" w:lineRule="exact"/>
        <w:ind w:firstLine="0"/>
        <w:textAlignment w:val="auto"/>
        <w:rPr>
          <w:rFonts w:ascii="仿宋" w:hAnsi="仿宋" w:eastAsia="仿宋" w:cs="仿宋"/>
          <w:b w:val="0"/>
          <w:bCs w:val="0"/>
          <w:snapToGrid w:val="0"/>
          <w:color w:val="auto"/>
          <w:spacing w:val="0"/>
          <w:sz w:val="28"/>
          <w:szCs w:val="28"/>
        </w:rPr>
      </w:pPr>
      <w:r>
        <w:rPr>
          <w:rFonts w:hint="eastAsia" w:ascii="仿宋_GB2312" w:hAnsi="仿宋_GB2312" w:eastAsia="仿宋_GB2312" w:cs="仿宋_GB2312"/>
          <w:b w:val="0"/>
          <w:bCs w:val="0"/>
          <w:snapToGrid w:val="0"/>
          <w:color w:val="auto"/>
          <w:spacing w:val="0"/>
          <w:kern w:val="0"/>
          <w:sz w:val="28"/>
          <w:szCs w:val="28"/>
        </w:rPr>
        <w:t xml:space="preserve">   </w:t>
      </w:r>
      <w:r>
        <w:rPr>
          <w:rFonts w:hint="eastAsia" w:ascii="仿宋_GB2312" w:hAnsi="仿宋_GB2312" w:eastAsia="仿宋_GB2312" w:cs="仿宋_GB2312"/>
          <w:b w:val="0"/>
          <w:bCs w:val="0"/>
          <w:snapToGrid w:val="0"/>
          <w:color w:val="auto"/>
          <w:spacing w:val="0"/>
          <w:kern w:val="0"/>
          <w:sz w:val="28"/>
          <w:szCs w:val="28"/>
          <w:lang w:val="en-US" w:eastAsia="zh-CN"/>
        </w:rPr>
        <w:t xml:space="preserve"> </w:t>
      </w:r>
      <w:r>
        <w:rPr>
          <w:rFonts w:hint="eastAsia" w:ascii="仿宋" w:hAnsi="仿宋" w:eastAsia="仿宋" w:cs="仿宋"/>
          <w:b w:val="0"/>
          <w:bCs w:val="0"/>
          <w:snapToGrid w:val="0"/>
          <w:color w:val="auto"/>
          <w:spacing w:val="0"/>
          <w:kern w:val="0"/>
          <w:sz w:val="28"/>
          <w:szCs w:val="28"/>
          <w:lang w:val="en-US" w:eastAsia="zh-CN"/>
        </w:rPr>
        <w:t>贯彻落实楼阳生书记在驻马店调研的讲话精神，</w:t>
      </w:r>
      <w:r>
        <w:rPr>
          <w:rFonts w:hint="eastAsia" w:ascii="仿宋" w:hAnsi="仿宋" w:eastAsia="仿宋" w:cs="仿宋"/>
          <w:b w:val="0"/>
          <w:bCs w:val="0"/>
          <w:snapToGrid w:val="0"/>
          <w:color w:val="auto"/>
          <w:spacing w:val="0"/>
          <w:sz w:val="28"/>
          <w:szCs w:val="28"/>
        </w:rPr>
        <w:t>抓住</w:t>
      </w:r>
      <w:r>
        <w:rPr>
          <w:rFonts w:hint="eastAsia" w:ascii="仿宋" w:hAnsi="仿宋" w:eastAsia="仿宋" w:cs="仿宋"/>
          <w:b w:val="0"/>
          <w:bCs w:val="0"/>
          <w:snapToGrid w:val="0"/>
          <w:color w:val="auto"/>
          <w:spacing w:val="0"/>
          <w:sz w:val="28"/>
          <w:szCs w:val="28"/>
          <w:lang w:eastAsia="zh-CN"/>
        </w:rPr>
        <w:t>“</w:t>
      </w:r>
      <w:r>
        <w:rPr>
          <w:rFonts w:hint="eastAsia" w:ascii="仿宋" w:hAnsi="仿宋" w:eastAsia="仿宋" w:cs="仿宋"/>
          <w:b w:val="0"/>
          <w:bCs w:val="0"/>
          <w:snapToGrid w:val="0"/>
          <w:color w:val="auto"/>
          <w:spacing w:val="0"/>
          <w:sz w:val="28"/>
          <w:szCs w:val="28"/>
        </w:rPr>
        <w:t>十四五</w:t>
      </w:r>
      <w:r>
        <w:rPr>
          <w:rFonts w:hint="eastAsia" w:ascii="仿宋" w:hAnsi="仿宋" w:eastAsia="仿宋" w:cs="仿宋"/>
          <w:b w:val="0"/>
          <w:bCs w:val="0"/>
          <w:snapToGrid w:val="0"/>
          <w:color w:val="auto"/>
          <w:spacing w:val="0"/>
          <w:sz w:val="28"/>
          <w:szCs w:val="28"/>
          <w:lang w:eastAsia="zh-CN"/>
        </w:rPr>
        <w:t>”</w:t>
      </w:r>
      <w:r>
        <w:rPr>
          <w:rFonts w:hint="eastAsia" w:ascii="仿宋" w:hAnsi="仿宋" w:eastAsia="仿宋" w:cs="仿宋"/>
          <w:b w:val="0"/>
          <w:bCs w:val="0"/>
          <w:snapToGrid w:val="0"/>
          <w:color w:val="auto"/>
          <w:spacing w:val="0"/>
          <w:sz w:val="28"/>
          <w:szCs w:val="28"/>
        </w:rPr>
        <w:t>时期河南省“着力弥补短板，新增高校向高等教育资源不足的省辖市倾斜”的机遇，</w:t>
      </w:r>
      <w:r>
        <w:rPr>
          <w:rFonts w:hint="eastAsia" w:ascii="仿宋" w:hAnsi="仿宋" w:eastAsia="仿宋" w:cs="仿宋"/>
          <w:b w:val="0"/>
          <w:bCs w:val="0"/>
          <w:snapToGrid w:val="0"/>
          <w:color w:val="auto"/>
          <w:spacing w:val="0"/>
          <w:sz w:val="28"/>
          <w:szCs w:val="28"/>
          <w:lang w:val="en-US" w:eastAsia="zh-CN"/>
        </w:rPr>
        <w:t>加快高等教育发展步伐。“十四五”期间，通过引进、升格等方式，争取新建1-2所本科院校。</w:t>
      </w:r>
      <w:r>
        <w:rPr>
          <w:rFonts w:hint="eastAsia" w:ascii="仿宋" w:hAnsi="仿宋" w:eastAsia="仿宋" w:cs="仿宋"/>
          <w:b w:val="0"/>
          <w:bCs w:val="0"/>
          <w:color w:val="auto"/>
          <w:kern w:val="0"/>
          <w:sz w:val="28"/>
          <w:szCs w:val="28"/>
          <w:lang w:val="en-US" w:eastAsia="zh-CN"/>
        </w:rPr>
        <w:t>积极支持</w:t>
      </w:r>
      <w:r>
        <w:rPr>
          <w:rFonts w:hint="eastAsia" w:ascii="仿宋" w:hAnsi="仿宋" w:eastAsia="仿宋" w:cs="仿宋"/>
          <w:b w:val="0"/>
          <w:bCs w:val="0"/>
          <w:color w:val="auto"/>
          <w:sz w:val="28"/>
          <w:szCs w:val="28"/>
          <w:lang w:val="en-US" w:eastAsia="zh-CN"/>
        </w:rPr>
        <w:t>黄淮学院应用型本科高质量发展，</w:t>
      </w:r>
      <w:r>
        <w:rPr>
          <w:rFonts w:hint="eastAsia" w:ascii="仿宋" w:hAnsi="仿宋" w:eastAsia="仿宋" w:cs="仿宋"/>
          <w:b w:val="0"/>
          <w:bCs w:val="0"/>
          <w:color w:val="auto"/>
          <w:sz w:val="28"/>
          <w:szCs w:val="28"/>
        </w:rPr>
        <w:t>加强科研式教育、研发型教学，不断提升</w:t>
      </w:r>
      <w:r>
        <w:rPr>
          <w:rFonts w:hint="eastAsia" w:ascii="仿宋" w:hAnsi="仿宋" w:eastAsia="仿宋" w:cs="仿宋"/>
          <w:b w:val="0"/>
          <w:bCs w:val="0"/>
          <w:color w:val="auto"/>
          <w:sz w:val="28"/>
          <w:szCs w:val="28"/>
          <w:lang w:val="en-US" w:eastAsia="zh-CN"/>
        </w:rPr>
        <w:t>学生</w:t>
      </w:r>
      <w:r>
        <w:rPr>
          <w:rFonts w:hint="eastAsia" w:ascii="仿宋" w:hAnsi="仿宋" w:eastAsia="仿宋" w:cs="仿宋"/>
          <w:b w:val="0"/>
          <w:bCs w:val="0"/>
          <w:color w:val="auto"/>
          <w:sz w:val="28"/>
          <w:szCs w:val="28"/>
        </w:rPr>
        <w:t>创新能力</w:t>
      </w:r>
      <w:r>
        <w:rPr>
          <w:rFonts w:hint="eastAsia" w:ascii="仿宋" w:hAnsi="仿宋" w:eastAsia="仿宋" w:cs="仿宋"/>
          <w:b w:val="0"/>
          <w:bCs w:val="0"/>
          <w:color w:val="auto"/>
          <w:sz w:val="28"/>
          <w:szCs w:val="28"/>
          <w:lang w:val="en-US" w:eastAsia="zh-CN"/>
        </w:rPr>
        <w:t>和</w:t>
      </w:r>
      <w:r>
        <w:rPr>
          <w:rFonts w:hint="eastAsia" w:ascii="仿宋" w:hAnsi="仿宋" w:eastAsia="仿宋" w:cs="仿宋"/>
          <w:b w:val="0"/>
          <w:bCs w:val="0"/>
          <w:color w:val="auto"/>
          <w:sz w:val="28"/>
          <w:szCs w:val="28"/>
        </w:rPr>
        <w:t>实践能力</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lang w:val="en-US" w:eastAsia="zh-CN"/>
        </w:rPr>
        <w:t>支持黄淮学院</w:t>
      </w:r>
      <w:r>
        <w:rPr>
          <w:rFonts w:hint="eastAsia" w:ascii="仿宋" w:hAnsi="仿宋" w:eastAsia="仿宋" w:cs="仿宋"/>
          <w:b w:val="0"/>
          <w:bCs w:val="0"/>
          <w:color w:val="auto"/>
          <w:sz w:val="28"/>
          <w:szCs w:val="28"/>
        </w:rPr>
        <w:t>加强产学研对接，加快成果落地转化，助力驻马店市转型发展</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lang w:val="en-US" w:eastAsia="zh-CN"/>
        </w:rPr>
        <w:t>支持黄淮学院</w:t>
      </w:r>
      <w:r>
        <w:rPr>
          <w:rFonts w:hint="eastAsia" w:ascii="仿宋" w:hAnsi="仿宋" w:eastAsia="仿宋" w:cs="仿宋"/>
          <w:b w:val="0"/>
          <w:bCs w:val="0"/>
          <w:color w:val="auto"/>
          <w:sz w:val="28"/>
          <w:szCs w:val="28"/>
        </w:rPr>
        <w:t>做强科研</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优化学科，特色化办学</w:t>
      </w:r>
      <w:r>
        <w:rPr>
          <w:rFonts w:hint="eastAsia" w:ascii="仿宋" w:hAnsi="仿宋" w:eastAsia="仿宋" w:cs="仿宋"/>
          <w:b w:val="0"/>
          <w:bCs w:val="0"/>
          <w:color w:val="auto"/>
          <w:sz w:val="28"/>
          <w:szCs w:val="28"/>
          <w:lang w:eastAsia="zh-CN"/>
        </w:rPr>
        <w:t>，</w:t>
      </w:r>
      <w:r>
        <w:rPr>
          <w:rFonts w:hint="eastAsia" w:ascii="仿宋_GB2312" w:hAnsi="仿宋_GB2312" w:eastAsia="仿宋_GB2312" w:cs="仿宋_GB2312"/>
          <w:b w:val="0"/>
          <w:bCs w:val="0"/>
          <w:snapToGrid w:val="0"/>
          <w:color w:val="auto"/>
          <w:spacing w:val="0"/>
          <w:sz w:val="28"/>
          <w:szCs w:val="28"/>
        </w:rPr>
        <w:t>将黄淮学院</w:t>
      </w:r>
      <w:r>
        <w:rPr>
          <w:rFonts w:hint="eastAsia" w:ascii="仿宋_GB2312" w:hAnsi="仿宋_GB2312" w:eastAsia="仿宋_GB2312" w:cs="仿宋_GB2312"/>
          <w:b w:val="0"/>
          <w:bCs w:val="0"/>
          <w:snapToGrid w:val="0"/>
          <w:color w:val="auto"/>
          <w:spacing w:val="0"/>
          <w:sz w:val="28"/>
          <w:szCs w:val="28"/>
          <w:lang w:val="en-US" w:eastAsia="zh-CN"/>
        </w:rPr>
        <w:t>建设成为</w:t>
      </w:r>
      <w:r>
        <w:rPr>
          <w:rFonts w:hint="eastAsia" w:ascii="仿宋_GB2312" w:hAnsi="仿宋_GB2312" w:eastAsia="仿宋_GB2312" w:cs="仿宋_GB2312"/>
          <w:b w:val="0"/>
          <w:bCs w:val="0"/>
          <w:snapToGrid w:val="0"/>
          <w:color w:val="auto"/>
          <w:spacing w:val="0"/>
          <w:sz w:val="28"/>
          <w:szCs w:val="28"/>
        </w:rPr>
        <w:t>特色鲜明</w:t>
      </w:r>
      <w:r>
        <w:rPr>
          <w:rFonts w:hint="eastAsia" w:ascii="仿宋_GB2312" w:hAnsi="仿宋_GB2312" w:eastAsia="仿宋_GB2312" w:cs="仿宋_GB2312"/>
          <w:b w:val="0"/>
          <w:bCs w:val="0"/>
          <w:snapToGrid w:val="0"/>
          <w:color w:val="auto"/>
          <w:spacing w:val="0"/>
          <w:sz w:val="28"/>
          <w:szCs w:val="28"/>
          <w:lang w:eastAsia="zh-CN"/>
        </w:rPr>
        <w:t>，</w:t>
      </w:r>
      <w:r>
        <w:rPr>
          <w:rFonts w:hint="eastAsia" w:ascii="仿宋_GB2312" w:hAnsi="仿宋_GB2312" w:eastAsia="仿宋_GB2312" w:cs="仿宋_GB2312"/>
          <w:b w:val="0"/>
          <w:bCs w:val="0"/>
          <w:snapToGrid w:val="0"/>
          <w:color w:val="auto"/>
          <w:spacing w:val="0"/>
          <w:sz w:val="28"/>
          <w:szCs w:val="28"/>
        </w:rPr>
        <w:t>居于全国、全省同类高校前列的高水平应用型本科大学</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snapToGrid w:val="0"/>
          <w:color w:val="auto"/>
          <w:spacing w:val="0"/>
          <w:sz w:val="28"/>
          <w:szCs w:val="28"/>
          <w:lang w:val="en-US" w:eastAsia="zh-CN"/>
        </w:rPr>
        <w:t>改善驻马店职业技术学院办学条件，提升学校内涵建设水平，努力达到职业本科设置标准，适时升格为本科层次职业院校，或</w:t>
      </w:r>
      <w:r>
        <w:rPr>
          <w:rFonts w:hint="eastAsia" w:ascii="仿宋_GB2312" w:hAnsi="仿宋_GB2312" w:eastAsia="仿宋_GB2312" w:cs="仿宋_GB2312"/>
          <w:b w:val="0"/>
          <w:bCs w:val="0"/>
          <w:snapToGrid w:val="0"/>
          <w:color w:val="auto"/>
          <w:spacing w:val="0"/>
          <w:sz w:val="28"/>
          <w:szCs w:val="28"/>
          <w:lang w:eastAsia="zh-CN"/>
        </w:rPr>
        <w:t>实现部分专业本科层次招生</w:t>
      </w:r>
      <w:r>
        <w:rPr>
          <w:rFonts w:hint="eastAsia" w:ascii="仿宋_GB2312" w:hAnsi="仿宋_GB2312" w:eastAsia="仿宋_GB2312" w:cs="仿宋_GB2312"/>
          <w:b w:val="0"/>
          <w:bCs w:val="0"/>
          <w:snapToGrid w:val="0"/>
          <w:color w:val="auto"/>
          <w:spacing w:val="0"/>
          <w:sz w:val="28"/>
          <w:szCs w:val="28"/>
          <w:lang w:val="en-US" w:eastAsia="zh-CN"/>
        </w:rPr>
        <w:t>办学</w:t>
      </w:r>
      <w:r>
        <w:rPr>
          <w:rFonts w:hint="eastAsia" w:ascii="仿宋" w:hAnsi="仿宋" w:eastAsia="仿宋" w:cs="仿宋"/>
          <w:b w:val="0"/>
          <w:bCs w:val="0"/>
          <w:snapToGrid w:val="0"/>
          <w:color w:val="auto"/>
          <w:spacing w:val="0"/>
          <w:sz w:val="28"/>
          <w:szCs w:val="28"/>
          <w:lang w:val="en-US" w:eastAsia="zh-CN"/>
        </w:rPr>
        <w:t>。积极筹建“驻马店农业工程职业学院”</w:t>
      </w:r>
      <w:r>
        <w:rPr>
          <w:rFonts w:hint="eastAsia" w:ascii="仿宋_GB2312" w:hAnsi="仿宋_GB2312" w:eastAsia="仿宋_GB2312" w:cs="仿宋_GB2312"/>
          <w:b w:val="0"/>
          <w:bCs w:val="0"/>
          <w:color w:val="auto"/>
          <w:kern w:val="0"/>
          <w:sz w:val="28"/>
          <w:szCs w:val="28"/>
          <w:lang w:val="en-US" w:eastAsia="zh-CN"/>
        </w:rPr>
        <w:t>等适应地方</w:t>
      </w:r>
      <w:r>
        <w:rPr>
          <w:rFonts w:hint="eastAsia" w:ascii="仿宋" w:hAnsi="仿宋" w:eastAsia="仿宋" w:cs="仿宋"/>
          <w:b w:val="0"/>
          <w:bCs w:val="0"/>
          <w:color w:val="auto"/>
          <w:sz w:val="28"/>
          <w:szCs w:val="28"/>
        </w:rPr>
        <w:t>产业发展的高等职业</w:t>
      </w:r>
      <w:r>
        <w:rPr>
          <w:rFonts w:hint="eastAsia" w:ascii="仿宋" w:hAnsi="仿宋" w:eastAsia="仿宋" w:cs="仿宋"/>
          <w:b w:val="0"/>
          <w:bCs w:val="0"/>
          <w:color w:val="auto"/>
          <w:sz w:val="28"/>
          <w:szCs w:val="28"/>
          <w:lang w:val="en-US" w:eastAsia="zh-CN"/>
        </w:rPr>
        <w:t>技术</w:t>
      </w:r>
      <w:r>
        <w:rPr>
          <w:rFonts w:hint="eastAsia" w:ascii="仿宋" w:hAnsi="仿宋" w:eastAsia="仿宋" w:cs="仿宋"/>
          <w:b w:val="0"/>
          <w:bCs w:val="0"/>
          <w:color w:val="auto"/>
          <w:sz w:val="28"/>
          <w:szCs w:val="28"/>
        </w:rPr>
        <w:t>院校</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引进优质高校</w:t>
      </w:r>
      <w:r>
        <w:rPr>
          <w:rFonts w:hint="eastAsia" w:ascii="仿宋" w:hAnsi="仿宋" w:eastAsia="仿宋" w:cs="仿宋"/>
          <w:b w:val="0"/>
          <w:bCs w:val="0"/>
          <w:color w:val="auto"/>
          <w:sz w:val="28"/>
          <w:szCs w:val="28"/>
          <w:lang w:val="en-US" w:eastAsia="zh-CN"/>
        </w:rPr>
        <w:t>来我市办学，努力</w:t>
      </w:r>
      <w:r>
        <w:rPr>
          <w:rFonts w:hint="eastAsia" w:ascii="仿宋" w:hAnsi="仿宋" w:eastAsia="仿宋" w:cs="仿宋"/>
          <w:b w:val="0"/>
          <w:bCs w:val="0"/>
          <w:color w:val="auto"/>
          <w:sz w:val="28"/>
          <w:szCs w:val="28"/>
        </w:rPr>
        <w:t>扩大高等职业教育规模</w:t>
      </w:r>
      <w:r>
        <w:rPr>
          <w:rFonts w:hint="eastAsia" w:ascii="仿宋" w:hAnsi="仿宋" w:eastAsia="仿宋" w:cs="仿宋"/>
          <w:b w:val="0"/>
          <w:bCs w:val="0"/>
          <w:color w:val="auto"/>
          <w:sz w:val="28"/>
          <w:szCs w:val="28"/>
          <w:lang w:eastAsia="zh-CN"/>
        </w:rPr>
        <w:t>。</w:t>
      </w:r>
      <w:r>
        <w:rPr>
          <w:rFonts w:hint="eastAsia" w:ascii="仿宋_GB2312" w:hAnsi="仿宋_GB2312" w:eastAsia="仿宋_GB2312" w:cs="仿宋_GB2312"/>
          <w:b w:val="0"/>
          <w:bCs w:val="0"/>
          <w:snapToGrid w:val="0"/>
          <w:color w:val="auto"/>
          <w:spacing w:val="0"/>
          <w:sz w:val="28"/>
          <w:szCs w:val="28"/>
        </w:rPr>
        <w:t>支持驻马店幼儿师范高等专科学校建成豫南幼儿师资培养中心、幼儿教师和幼儿园长培训中心、幼儿教育科学研究中心。</w:t>
      </w:r>
    </w:p>
    <w:p>
      <w:pPr>
        <w:pStyle w:val="4"/>
        <w:pageBreakBefore w:val="0"/>
        <w:kinsoku/>
        <w:wordWrap/>
        <w:overflowPunct/>
        <w:topLinePunct w:val="0"/>
        <w:autoSpaceDE/>
        <w:autoSpaceDN/>
        <w:bidi w:val="0"/>
        <w:spacing w:line="540" w:lineRule="exact"/>
        <w:ind w:firstLine="642" w:firstLineChars="200"/>
        <w:jc w:val="left"/>
        <w:textAlignment w:val="auto"/>
        <w:rPr>
          <w:rFonts w:ascii="黑体" w:hAnsi="黑体"/>
          <w:bCs/>
          <w:snapToGrid w:val="0"/>
          <w:spacing w:val="0"/>
          <w:szCs w:val="32"/>
        </w:rPr>
      </w:pPr>
      <w:bookmarkStart w:id="78" w:name="六、建设学习型社会"/>
      <w:bookmarkEnd w:id="78"/>
      <w:bookmarkStart w:id="79" w:name="_bookmark25"/>
      <w:bookmarkEnd w:id="79"/>
      <w:bookmarkStart w:id="80" w:name="_Toc16139"/>
      <w:bookmarkStart w:id="81" w:name="_Toc11641"/>
      <w:bookmarkStart w:id="82" w:name="_Toc27441"/>
      <w:r>
        <w:rPr>
          <w:rFonts w:hint="eastAsia" w:ascii="黑体" w:hAnsi="黑体"/>
          <w:bCs/>
          <w:snapToGrid w:val="0"/>
          <w:spacing w:val="0"/>
          <w:szCs w:val="32"/>
        </w:rPr>
        <w:t>六、建设学习型社会</w:t>
      </w:r>
      <w:bookmarkEnd w:id="80"/>
      <w:bookmarkEnd w:id="81"/>
      <w:bookmarkEnd w:id="82"/>
    </w:p>
    <w:p>
      <w:pPr>
        <w:pageBreakBefore w:val="0"/>
        <w:kinsoku/>
        <w:wordWrap/>
        <w:overflowPunct/>
        <w:topLinePunct w:val="0"/>
        <w:autoSpaceDE/>
        <w:autoSpaceDN/>
        <w:bidi w:val="0"/>
        <w:spacing w:line="540" w:lineRule="exact"/>
        <w:ind w:firstLine="600" w:firstLineChars="200"/>
        <w:textAlignment w:val="auto"/>
        <w:outlineLvl w:val="1"/>
        <w:rPr>
          <w:rFonts w:ascii="楷体" w:hAnsi="楷体" w:eastAsia="楷体" w:cs="楷体"/>
          <w:bCs/>
          <w:snapToGrid w:val="0"/>
          <w:spacing w:val="0"/>
          <w:sz w:val="30"/>
          <w:szCs w:val="30"/>
        </w:rPr>
      </w:pPr>
      <w:bookmarkStart w:id="83" w:name="_Toc18901"/>
      <w:bookmarkStart w:id="84" w:name="_Toc21547"/>
      <w:r>
        <w:rPr>
          <w:rFonts w:hint="eastAsia" w:ascii="楷体" w:hAnsi="楷体" w:eastAsia="楷体" w:cs="楷体"/>
          <w:bCs/>
          <w:snapToGrid w:val="0"/>
          <w:spacing w:val="0"/>
          <w:sz w:val="30"/>
          <w:szCs w:val="30"/>
        </w:rPr>
        <w:t>（一）完善全民终身学习体系</w:t>
      </w:r>
      <w:bookmarkEnd w:id="83"/>
      <w:bookmarkEnd w:id="84"/>
    </w:p>
    <w:p>
      <w:pPr>
        <w:pStyle w:val="7"/>
        <w:pageBreakBefore w:val="0"/>
        <w:kinsoku/>
        <w:wordWrap/>
        <w:overflowPunct/>
        <w:topLinePunct w:val="0"/>
        <w:autoSpaceDE/>
        <w:autoSpaceDN/>
        <w:bidi w:val="0"/>
        <w:spacing w:after="0" w:line="540" w:lineRule="exact"/>
        <w:ind w:firstLine="560" w:firstLineChars="200"/>
        <w:textAlignment w:val="auto"/>
        <w:rPr>
          <w:rFonts w:ascii="仿宋_GB2312" w:hAnsi="仿宋_GB2312" w:eastAsia="仿宋_GB2312" w:cs="仿宋_GB2312"/>
          <w:snapToGrid w:val="0"/>
          <w:color w:val="000000" w:themeColor="text1"/>
          <w:spacing w:val="0"/>
          <w:kern w:val="0"/>
          <w:sz w:val="28"/>
          <w:szCs w:val="28"/>
          <w14:textFill>
            <w14:solidFill>
              <w14:schemeClr w14:val="tx1"/>
            </w14:solidFill>
          </w14:textFill>
        </w:rPr>
      </w:pPr>
      <w:r>
        <w:rPr>
          <w:rFonts w:hint="eastAsia" w:ascii="仿宋_GB2312" w:hAnsi="仿宋_GB2312" w:eastAsia="仿宋_GB2312" w:cs="仿宋_GB2312"/>
          <w:snapToGrid w:val="0"/>
          <w:color w:val="000000" w:themeColor="text1"/>
          <w:spacing w:val="0"/>
          <w:kern w:val="0"/>
          <w:sz w:val="28"/>
          <w:szCs w:val="28"/>
          <w14:textFill>
            <w14:solidFill>
              <w14:schemeClr w14:val="tx1"/>
            </w14:solidFill>
          </w14:textFill>
        </w:rPr>
        <w:t>完善全民终身学习推进机制。健全全民终身学习政策制度体系，建立市政府统筹、相关部门和行业企业共同参与的终身学习工作推进机制。积极参与国家资历框架建设，探索国家学分银行落地工作机制、标准体系和实现路径。完善终身教育学习成果转换与认证制度，强化学历、学位和职业资格衔接，有序开展学历证书和职业技能等级证书所体现的学习成果的认定、积累和转换，推进学校之间、学校与行业、企业、培训机构之间实现学习成果互认。制定实施《驻马店开放大学综合改革方案》，发挥开放大学办学体系优势，提升市、县级开放大学办学能力与公共服务水平。构建政府、市场、社会组织、学习者等多主体分担的终身学习经费筹措机制，将终身教育经费列入本级政府预算，保障正常的教育教学活动开展。健全终身学习服务机构办学水平评估机制，对符合条件的社会培训机构通过政府购买服务、税费减免等形式给予支持。积极创建学习型城市和学习型乡村，举办全民终身学习活动周活动。</w:t>
      </w:r>
    </w:p>
    <w:p>
      <w:pPr>
        <w:pageBreakBefore w:val="0"/>
        <w:kinsoku/>
        <w:wordWrap/>
        <w:overflowPunct/>
        <w:topLinePunct w:val="0"/>
        <w:autoSpaceDE/>
        <w:autoSpaceDN/>
        <w:bidi w:val="0"/>
        <w:spacing w:line="540" w:lineRule="exact"/>
        <w:ind w:firstLine="600" w:firstLineChars="200"/>
        <w:textAlignment w:val="auto"/>
        <w:outlineLvl w:val="1"/>
        <w:rPr>
          <w:rFonts w:ascii="楷体" w:hAnsi="楷体" w:eastAsia="楷体" w:cs="楷体"/>
          <w:bCs/>
          <w:snapToGrid w:val="0"/>
          <w:spacing w:val="0"/>
          <w:sz w:val="30"/>
          <w:szCs w:val="30"/>
        </w:rPr>
      </w:pPr>
      <w:bookmarkStart w:id="85" w:name="_Toc11126"/>
      <w:bookmarkStart w:id="86" w:name="_Toc3386"/>
      <w:r>
        <w:rPr>
          <w:rFonts w:hint="eastAsia" w:ascii="楷体" w:hAnsi="楷体" w:eastAsia="楷体" w:cs="楷体"/>
          <w:bCs/>
          <w:snapToGrid w:val="0"/>
          <w:spacing w:val="0"/>
          <w:sz w:val="30"/>
          <w:szCs w:val="30"/>
        </w:rPr>
        <w:t>（二）扩大终身教育资源</w:t>
      </w:r>
      <w:bookmarkEnd w:id="85"/>
      <w:bookmarkEnd w:id="86"/>
    </w:p>
    <w:p>
      <w:pPr>
        <w:pStyle w:val="7"/>
        <w:pageBreakBefore w:val="0"/>
        <w:kinsoku/>
        <w:wordWrap/>
        <w:overflowPunct/>
        <w:topLinePunct w:val="0"/>
        <w:autoSpaceDE/>
        <w:autoSpaceDN/>
        <w:bidi w:val="0"/>
        <w:spacing w:after="0" w:line="540" w:lineRule="exact"/>
        <w:ind w:right="152" w:firstLine="560" w:firstLineChars="200"/>
        <w:jc w:val="left"/>
        <w:textAlignment w:val="auto"/>
        <w:rPr>
          <w:rFonts w:ascii="仿宋_GB2312" w:hAnsi="仿宋_GB2312" w:eastAsia="仿宋_GB2312" w:cs="仿宋_GB2312"/>
          <w:snapToGrid w:val="0"/>
          <w:color w:val="000000" w:themeColor="text1"/>
          <w:spacing w:val="0"/>
          <w:kern w:val="0"/>
          <w:sz w:val="28"/>
          <w:szCs w:val="28"/>
          <w14:textFill>
            <w14:solidFill>
              <w14:schemeClr w14:val="tx1"/>
            </w14:solidFill>
          </w14:textFill>
        </w:rPr>
      </w:pPr>
      <w:r>
        <w:rPr>
          <w:rFonts w:ascii="仿宋_GB2312" w:hAnsi="仿宋_GB2312" w:eastAsia="仿宋_GB2312" w:cs="仿宋_GB2312"/>
          <w:snapToGrid w:val="0"/>
          <w:color w:val="000000" w:themeColor="text1"/>
          <w:spacing w:val="0"/>
          <w:kern w:val="0"/>
          <w:sz w:val="28"/>
          <w:szCs w:val="28"/>
          <w14:textFill>
            <w14:solidFill>
              <w14:schemeClr w14:val="tx1"/>
            </w14:solidFill>
          </w14:textFill>
        </w:rPr>
        <w:t>增强终身教育资源供给能力。整合</w:t>
      </w:r>
      <w:r>
        <w:rPr>
          <w:rFonts w:hint="eastAsia" w:ascii="仿宋_GB2312" w:hAnsi="仿宋_GB2312" w:eastAsia="仿宋_GB2312" w:cs="仿宋_GB2312"/>
          <w:snapToGrid w:val="0"/>
          <w:color w:val="000000" w:themeColor="text1"/>
          <w:spacing w:val="0"/>
          <w:kern w:val="0"/>
          <w:sz w:val="28"/>
          <w:szCs w:val="28"/>
          <w14:textFill>
            <w14:solidFill>
              <w14:schemeClr w14:val="tx1"/>
            </w14:solidFill>
          </w14:textFill>
        </w:rPr>
        <w:t>全市</w:t>
      </w:r>
      <w:r>
        <w:rPr>
          <w:rFonts w:ascii="仿宋_GB2312" w:hAnsi="仿宋_GB2312" w:eastAsia="仿宋_GB2312" w:cs="仿宋_GB2312"/>
          <w:snapToGrid w:val="0"/>
          <w:color w:val="000000" w:themeColor="text1"/>
          <w:spacing w:val="0"/>
          <w:kern w:val="0"/>
          <w:sz w:val="28"/>
          <w:szCs w:val="28"/>
          <w14:textFill>
            <w14:solidFill>
              <w14:schemeClr w14:val="tx1"/>
            </w14:solidFill>
          </w14:textFill>
        </w:rPr>
        <w:t>普通高校、职业学校、行业企业等各类优质学习资源，实现高等教育、职业教育、继续教育和终身学习服务资源的融合共享，形成丰富多样的数字资源中心、资源联盟，支持线上线下、课内课外、远程现场、虚拟现实等多场景学习，为各类学历教育、非学历教育提供接入通道和公共服务。推动高等继续教育转型创新发展，改造融合函授教育、业余教育、成人脱产班、开放教育、自学考试等形式，形成学习形式多样、质量要求同等的办学格局。发挥在线教育优势，建设全民终身学习一体化在线教育公共服务平台，打造服务全民终身学习教育体系的有效载体，大力发展以互联网为载体、线上线下互动的终身学习模式。丰富数字化教育资源的供给形式，提供电视、广播、电脑、手机与各类移动终端的全媒体学习资源获取方式。</w:t>
      </w:r>
    </w:p>
    <w:p>
      <w:pPr>
        <w:pStyle w:val="7"/>
        <w:pageBreakBefore w:val="0"/>
        <w:kinsoku/>
        <w:wordWrap/>
        <w:overflowPunct/>
        <w:topLinePunct w:val="0"/>
        <w:autoSpaceDE/>
        <w:autoSpaceDN/>
        <w:bidi w:val="0"/>
        <w:spacing w:after="0" w:line="540" w:lineRule="exact"/>
        <w:ind w:left="632" w:right="152"/>
        <w:jc w:val="left"/>
        <w:textAlignment w:val="auto"/>
        <w:outlineLvl w:val="1"/>
        <w:rPr>
          <w:rFonts w:ascii="楷体" w:hAnsi="楷体" w:eastAsia="楷体" w:cs="楷体"/>
          <w:bCs/>
          <w:snapToGrid w:val="0"/>
          <w:spacing w:val="0"/>
          <w:sz w:val="30"/>
          <w:szCs w:val="30"/>
        </w:rPr>
      </w:pPr>
      <w:bookmarkStart w:id="87" w:name="_Toc12167"/>
      <w:bookmarkStart w:id="88" w:name="_Toc138"/>
      <w:r>
        <w:rPr>
          <w:rFonts w:hint="eastAsia" w:ascii="楷体" w:hAnsi="楷体" w:eastAsia="楷体" w:cs="楷体"/>
          <w:bCs/>
          <w:snapToGrid w:val="0"/>
          <w:spacing w:val="0"/>
          <w:sz w:val="30"/>
          <w:szCs w:val="30"/>
        </w:rPr>
        <w:t>（三）办好城乡社区教育</w:t>
      </w:r>
      <w:bookmarkEnd w:id="87"/>
      <w:bookmarkEnd w:id="88"/>
    </w:p>
    <w:p>
      <w:pPr>
        <w:pStyle w:val="7"/>
        <w:pageBreakBefore w:val="0"/>
        <w:kinsoku/>
        <w:wordWrap/>
        <w:overflowPunct/>
        <w:topLinePunct w:val="0"/>
        <w:autoSpaceDE/>
        <w:autoSpaceDN/>
        <w:bidi w:val="0"/>
        <w:spacing w:after="0" w:line="540" w:lineRule="exact"/>
        <w:ind w:right="152" w:firstLine="560" w:firstLineChars="200"/>
        <w:jc w:val="left"/>
        <w:textAlignment w:val="auto"/>
        <w:rPr>
          <w:rFonts w:ascii="仿宋_GB2312" w:hAnsi="仿宋_GB2312" w:eastAsia="仿宋_GB2312" w:cs="仿宋_GB2312"/>
          <w:snapToGrid w:val="0"/>
          <w:color w:val="000000" w:themeColor="text1"/>
          <w:spacing w:val="0"/>
          <w:kern w:val="0"/>
          <w:sz w:val="28"/>
          <w:szCs w:val="28"/>
          <w14:textFill>
            <w14:solidFill>
              <w14:schemeClr w14:val="tx1"/>
            </w14:solidFill>
          </w14:textFill>
        </w:rPr>
      </w:pPr>
      <w:r>
        <w:rPr>
          <w:rFonts w:ascii="仿宋_GB2312" w:hAnsi="仿宋_GB2312" w:eastAsia="仿宋_GB2312" w:cs="仿宋_GB2312"/>
          <w:snapToGrid w:val="0"/>
          <w:color w:val="000000" w:themeColor="text1"/>
          <w:spacing w:val="0"/>
          <w:kern w:val="0"/>
          <w:sz w:val="28"/>
          <w:szCs w:val="28"/>
          <w14:textFill>
            <w14:solidFill>
              <w14:schemeClr w14:val="tx1"/>
            </w14:solidFill>
          </w14:textFill>
        </w:rPr>
        <w:t>完善社区教育服务体系。把发展社区教育纳入</w:t>
      </w:r>
      <w:r>
        <w:rPr>
          <w:rFonts w:hint="eastAsia" w:ascii="仿宋_GB2312" w:hAnsi="仿宋_GB2312" w:eastAsia="仿宋_GB2312" w:cs="仿宋_GB2312"/>
          <w:snapToGrid w:val="0"/>
          <w:color w:val="000000" w:themeColor="text1"/>
          <w:spacing w:val="0"/>
          <w:kern w:val="0"/>
          <w:sz w:val="28"/>
          <w:szCs w:val="28"/>
          <w:lang w:eastAsia="zh-CN"/>
          <w14:textFill>
            <w14:solidFill>
              <w14:schemeClr w14:val="tx1"/>
            </w14:solidFill>
          </w14:textFill>
        </w:rPr>
        <w:t>市县</w:t>
      </w:r>
      <w:r>
        <w:rPr>
          <w:rFonts w:ascii="仿宋_GB2312" w:hAnsi="仿宋_GB2312" w:eastAsia="仿宋_GB2312" w:cs="仿宋_GB2312"/>
          <w:snapToGrid w:val="0"/>
          <w:color w:val="000000" w:themeColor="text1"/>
          <w:spacing w:val="0"/>
          <w:kern w:val="0"/>
          <w:sz w:val="28"/>
          <w:szCs w:val="28"/>
          <w14:textFill>
            <w14:solidFill>
              <w14:schemeClr w14:val="tx1"/>
            </w14:solidFill>
          </w14:textFill>
        </w:rPr>
        <w:t>政府发展规划，探索建立驻马店市社区大学，支持每个县区至少建设1所有实体依托的社区学院。健全以市级社区大学、县级社区学院为骨干，以乡镇（街道）社区教育中心、村（社区）党群服务中心和居民学习体验基地为基础的社区教育五级办学体系。加强社区教育平台和课程建设，增强资源供给能力。拓展县级职教中心、科普文体机构、社区综合服务中心等社区教育功能，推动社区教育向基层、农村延伸。依托社区教育阵地开展党建普法、公民素养、职业技能、科学普及、安全健康等教育活动，积极服务基层治理和乡村振兴。争创省级、国家级社区教育实验区、示范区，认定一批市级示范性县区社区学院、乡镇（街道）社区学校和社区教育实验区、示范区。</w:t>
      </w:r>
    </w:p>
    <w:p>
      <w:pPr>
        <w:pageBreakBefore w:val="0"/>
        <w:kinsoku/>
        <w:wordWrap/>
        <w:overflowPunct/>
        <w:topLinePunct w:val="0"/>
        <w:autoSpaceDE/>
        <w:autoSpaceDN/>
        <w:bidi w:val="0"/>
        <w:spacing w:line="540" w:lineRule="exact"/>
        <w:ind w:firstLine="600" w:firstLineChars="200"/>
        <w:textAlignment w:val="auto"/>
        <w:outlineLvl w:val="1"/>
        <w:rPr>
          <w:rFonts w:ascii="楷体" w:hAnsi="楷体" w:eastAsia="楷体" w:cs="楷体"/>
          <w:bCs/>
          <w:snapToGrid w:val="0"/>
          <w:spacing w:val="0"/>
          <w:sz w:val="30"/>
          <w:szCs w:val="30"/>
        </w:rPr>
      </w:pPr>
      <w:bookmarkStart w:id="89" w:name="_Toc23466"/>
      <w:bookmarkStart w:id="90" w:name="_Toc7124"/>
      <w:r>
        <w:rPr>
          <w:rFonts w:hint="eastAsia" w:ascii="楷体" w:hAnsi="楷体" w:eastAsia="楷体" w:cs="楷体"/>
          <w:bCs/>
          <w:snapToGrid w:val="0"/>
          <w:spacing w:val="0"/>
          <w:sz w:val="30"/>
          <w:szCs w:val="30"/>
        </w:rPr>
        <w:t>（四）创新发展老年教育</w:t>
      </w:r>
      <w:bookmarkEnd w:id="89"/>
      <w:bookmarkEnd w:id="90"/>
    </w:p>
    <w:p>
      <w:pPr>
        <w:pStyle w:val="7"/>
        <w:pageBreakBefore w:val="0"/>
        <w:kinsoku/>
        <w:wordWrap/>
        <w:overflowPunct/>
        <w:topLinePunct w:val="0"/>
        <w:autoSpaceDE/>
        <w:autoSpaceDN/>
        <w:bidi w:val="0"/>
        <w:spacing w:after="0" w:line="540" w:lineRule="exact"/>
        <w:ind w:right="117" w:firstLine="560" w:firstLineChars="200"/>
        <w:textAlignment w:val="auto"/>
        <w:rPr>
          <w:rFonts w:ascii="仿宋_GB2312" w:hAnsi="仿宋_GB2312" w:eastAsia="仿宋_GB2312" w:cs="仿宋_GB2312"/>
          <w:snapToGrid w:val="0"/>
          <w:color w:val="000000" w:themeColor="text1"/>
          <w:spacing w:val="0"/>
          <w:kern w:val="0"/>
          <w:sz w:val="28"/>
          <w:szCs w:val="28"/>
          <w14:textFill>
            <w14:solidFill>
              <w14:schemeClr w14:val="tx1"/>
            </w14:solidFill>
          </w14:textFill>
        </w:rPr>
      </w:pPr>
      <w:r>
        <w:rPr>
          <w:rFonts w:ascii="仿宋_GB2312" w:hAnsi="仿宋_GB2312" w:eastAsia="仿宋_GB2312" w:cs="仿宋_GB2312"/>
          <w:snapToGrid w:val="0"/>
          <w:color w:val="000000" w:themeColor="text1"/>
          <w:spacing w:val="0"/>
          <w:kern w:val="0"/>
          <w:sz w:val="28"/>
          <w:szCs w:val="28"/>
          <w14:textFill>
            <w14:solidFill>
              <w14:schemeClr w14:val="tx1"/>
            </w14:solidFill>
          </w14:textFill>
        </w:rPr>
        <w:t>提升老年教育服务能力。建好办好现有老年教育机构，以开放大学体系、社区教育办学网络和养老服务体系为依托，完善覆盖城乡的老年教育服务体系。鼓励社会力量兴办老年教育，推动部门、企业、院校举办的老年大学（学校）面向社会开放，支持每个县区至少建设1个养教结合的老年教育中心。利用职业学校专业、教师优势，搭建老年教育资源共享和公共服务平台，扩大资源供给，丰富学习内容。加大老年教育相关的职业技能培训，为完成学业者颁发相应的学历证书或技能证书。开展省市级示范性老年大学（学校）认定工作，争创省级示范性老年大学（学校）。根据老年人学习需求和身心特征，开发适合老年群体学习和使用的技能学习课程与项目，重点面向老年人开展智能技术应用教育常态化培训和服务。</w:t>
      </w:r>
    </w:p>
    <w:p>
      <w:pPr>
        <w:pStyle w:val="7"/>
        <w:keepNext w:val="0"/>
        <w:keepLines w:val="0"/>
        <w:pageBreakBefore w:val="0"/>
        <w:widowControl w:val="0"/>
        <w:kinsoku/>
        <w:wordWrap/>
        <w:overflowPunct/>
        <w:topLinePunct w:val="0"/>
        <w:autoSpaceDE/>
        <w:autoSpaceDN/>
        <w:bidi w:val="0"/>
        <w:adjustRightInd/>
        <w:snapToGrid/>
        <w:spacing w:after="0" w:line="340" w:lineRule="exact"/>
        <w:ind w:right="117" w:firstLine="560" w:firstLineChars="200"/>
        <w:textAlignment w:val="auto"/>
        <w:rPr>
          <w:rFonts w:ascii="仿宋_GB2312" w:hAnsi="仿宋_GB2312" w:eastAsia="仿宋_GB2312" w:cs="仿宋_GB2312"/>
          <w:snapToGrid w:val="0"/>
          <w:color w:val="000000" w:themeColor="text1"/>
          <w:spacing w:val="0"/>
          <w:kern w:val="0"/>
          <w:sz w:val="28"/>
          <w:szCs w:val="28"/>
          <w14:textFill>
            <w14:solidFill>
              <w14:schemeClr w14:val="tx1"/>
            </w14:solidFill>
          </w14:textFill>
        </w:rPr>
      </w:pPr>
    </w:p>
    <w:tbl>
      <w:tblPr>
        <w:tblStyle w:val="34"/>
        <w:tblW w:w="8931" w:type="dxa"/>
        <w:tblInd w:w="-279" w:type="dxa"/>
        <w:tblLayout w:type="fixed"/>
        <w:tblCellMar>
          <w:top w:w="0" w:type="dxa"/>
          <w:left w:w="0" w:type="dxa"/>
          <w:bottom w:w="0" w:type="dxa"/>
          <w:right w:w="0" w:type="dxa"/>
        </w:tblCellMar>
      </w:tblPr>
      <w:tblGrid>
        <w:gridCol w:w="2078"/>
        <w:gridCol w:w="6853"/>
      </w:tblGrid>
      <w:tr>
        <w:tblPrEx>
          <w:tblCellMar>
            <w:top w:w="0" w:type="dxa"/>
            <w:left w:w="0" w:type="dxa"/>
            <w:bottom w:w="0" w:type="dxa"/>
            <w:right w:w="0" w:type="dxa"/>
          </w:tblCellMar>
        </w:tblPrEx>
        <w:trPr>
          <w:trHeight w:val="598" w:hRule="exact"/>
        </w:trPr>
        <w:tc>
          <w:tcPr>
            <w:tcW w:w="8931" w:type="dxa"/>
            <w:gridSpan w:val="2"/>
            <w:tcBorders>
              <w:top w:val="single" w:color="000000" w:sz="4" w:space="0"/>
              <w:left w:val="single" w:color="000000" w:sz="4" w:space="0"/>
              <w:bottom w:val="single" w:color="000000" w:sz="4" w:space="0"/>
              <w:right w:val="single" w:color="000000" w:sz="4" w:space="0"/>
            </w:tcBorders>
          </w:tcPr>
          <w:p>
            <w:pPr>
              <w:pStyle w:val="35"/>
              <w:keepNext w:val="0"/>
              <w:keepLines w:val="0"/>
              <w:pageBreakBefore w:val="0"/>
              <w:widowControl w:val="0"/>
              <w:tabs>
                <w:tab w:val="left" w:pos="2497"/>
              </w:tabs>
              <w:kinsoku/>
              <w:wordWrap/>
              <w:overflowPunct/>
              <w:topLinePunct w:val="0"/>
              <w:autoSpaceDE/>
              <w:autoSpaceDN/>
              <w:bidi w:val="0"/>
              <w:adjustRightInd/>
              <w:snapToGrid/>
              <w:spacing w:before="158" w:line="340" w:lineRule="exact"/>
              <w:ind w:left="1336"/>
              <w:textAlignment w:val="auto"/>
              <w:rPr>
                <w:rFonts w:ascii="黑体" w:hAnsi="黑体" w:eastAsia="黑体" w:cs="黑体"/>
                <w:snapToGrid w:val="0"/>
                <w:spacing w:val="0"/>
                <w:sz w:val="30"/>
                <w:szCs w:val="30"/>
                <w:lang w:eastAsia="zh-CN"/>
              </w:rPr>
            </w:pPr>
            <w:r>
              <w:rPr>
                <w:rFonts w:ascii="黑体" w:hAnsi="黑体" w:eastAsia="黑体" w:cs="黑体"/>
                <w:snapToGrid w:val="0"/>
                <w:spacing w:val="0"/>
                <w:sz w:val="30"/>
                <w:szCs w:val="30"/>
                <w:lang w:eastAsia="zh-CN"/>
              </w:rPr>
              <w:t>专栏</w:t>
            </w:r>
            <w:r>
              <w:rPr>
                <w:rFonts w:hint="eastAsia" w:ascii="黑体" w:hAnsi="黑体" w:eastAsia="黑体" w:cs="黑体"/>
                <w:snapToGrid w:val="0"/>
                <w:spacing w:val="0"/>
                <w:sz w:val="30"/>
                <w:szCs w:val="30"/>
                <w:lang w:val="en-US" w:eastAsia="zh-CN"/>
              </w:rPr>
              <w:t>4</w:t>
            </w:r>
            <w:r>
              <w:rPr>
                <w:rFonts w:ascii="黑体" w:hAnsi="黑体" w:eastAsia="黑体" w:cs="黑体"/>
                <w:snapToGrid w:val="0"/>
                <w:spacing w:val="0"/>
                <w:sz w:val="30"/>
                <w:szCs w:val="30"/>
                <w:lang w:eastAsia="zh-CN"/>
              </w:rPr>
              <w:tab/>
            </w:r>
            <w:r>
              <w:rPr>
                <w:rFonts w:ascii="黑体" w:hAnsi="黑体" w:eastAsia="黑体" w:cs="黑体"/>
                <w:snapToGrid w:val="0"/>
                <w:spacing w:val="0"/>
                <w:sz w:val="30"/>
                <w:szCs w:val="30"/>
                <w:lang w:eastAsia="zh-CN"/>
              </w:rPr>
              <w:t>全民终身学习公共服务体系建设工程</w:t>
            </w:r>
          </w:p>
        </w:tc>
      </w:tr>
      <w:tr>
        <w:tblPrEx>
          <w:tblCellMar>
            <w:top w:w="0" w:type="dxa"/>
            <w:left w:w="0" w:type="dxa"/>
            <w:bottom w:w="0" w:type="dxa"/>
            <w:right w:w="0" w:type="dxa"/>
          </w:tblCellMar>
        </w:tblPrEx>
        <w:trPr>
          <w:trHeight w:val="1345" w:hRule="exact"/>
        </w:trPr>
        <w:tc>
          <w:tcPr>
            <w:tcW w:w="2078" w:type="dxa"/>
            <w:tcBorders>
              <w:top w:val="single" w:color="000000" w:sz="4" w:space="0"/>
              <w:left w:val="single" w:color="000000" w:sz="4" w:space="0"/>
              <w:bottom w:val="single" w:color="000000" w:sz="4" w:space="0"/>
              <w:right w:val="single" w:color="000000" w:sz="4" w:space="0"/>
            </w:tcBorders>
          </w:tcPr>
          <w:p>
            <w:pPr>
              <w:pStyle w:val="35"/>
              <w:keepNext w:val="0"/>
              <w:keepLines w:val="0"/>
              <w:pageBreakBefore w:val="0"/>
              <w:widowControl w:val="0"/>
              <w:kinsoku/>
              <w:wordWrap/>
              <w:overflowPunct/>
              <w:topLinePunct w:val="0"/>
              <w:autoSpaceDE/>
              <w:autoSpaceDN/>
              <w:bidi w:val="0"/>
              <w:adjustRightInd/>
              <w:snapToGrid/>
              <w:spacing w:line="340" w:lineRule="exact"/>
              <w:textAlignment w:val="auto"/>
              <w:rPr>
                <w:rFonts w:ascii="楷体" w:hAnsi="楷体" w:eastAsia="楷体" w:cs="楷体"/>
                <w:snapToGrid w:val="0"/>
                <w:spacing w:val="0"/>
                <w:sz w:val="24"/>
                <w:szCs w:val="24"/>
                <w:lang w:eastAsia="zh-CN"/>
              </w:rPr>
            </w:pPr>
          </w:p>
          <w:p>
            <w:pPr>
              <w:pStyle w:val="35"/>
              <w:keepNext w:val="0"/>
              <w:keepLines w:val="0"/>
              <w:pageBreakBefore w:val="0"/>
              <w:widowControl w:val="0"/>
              <w:kinsoku/>
              <w:wordWrap/>
              <w:overflowPunct/>
              <w:topLinePunct w:val="0"/>
              <w:autoSpaceDE/>
              <w:autoSpaceDN/>
              <w:bidi w:val="0"/>
              <w:adjustRightInd/>
              <w:snapToGrid/>
              <w:spacing w:line="340" w:lineRule="exact"/>
              <w:textAlignment w:val="auto"/>
              <w:rPr>
                <w:rFonts w:ascii="楷体" w:hAnsi="楷体" w:eastAsia="楷体" w:cs="楷体"/>
                <w:snapToGrid w:val="0"/>
                <w:spacing w:val="0"/>
                <w:sz w:val="24"/>
                <w:szCs w:val="24"/>
                <w:lang w:eastAsia="zh-CN"/>
              </w:rPr>
            </w:pPr>
            <w:r>
              <w:rPr>
                <w:rFonts w:ascii="楷体" w:hAnsi="楷体" w:eastAsia="楷体" w:cs="楷体"/>
                <w:snapToGrid w:val="0"/>
                <w:spacing w:val="0"/>
                <w:sz w:val="24"/>
                <w:szCs w:val="24"/>
                <w:lang w:eastAsia="zh-CN"/>
              </w:rPr>
              <w:t>学分银行建设</w:t>
            </w:r>
          </w:p>
        </w:tc>
        <w:tc>
          <w:tcPr>
            <w:tcW w:w="6853" w:type="dxa"/>
            <w:tcBorders>
              <w:top w:val="single" w:color="000000" w:sz="4" w:space="0"/>
              <w:left w:val="single" w:color="000000" w:sz="4" w:space="0"/>
              <w:bottom w:val="single" w:color="000000" w:sz="4" w:space="0"/>
              <w:right w:val="single" w:color="000000" w:sz="4" w:space="0"/>
            </w:tcBorders>
          </w:tcPr>
          <w:p>
            <w:pPr>
              <w:pStyle w:val="35"/>
              <w:keepNext w:val="0"/>
              <w:keepLines w:val="0"/>
              <w:pageBreakBefore w:val="0"/>
              <w:widowControl w:val="0"/>
              <w:kinsoku/>
              <w:wordWrap/>
              <w:overflowPunct/>
              <w:topLinePunct w:val="0"/>
              <w:autoSpaceDE/>
              <w:autoSpaceDN/>
              <w:bidi w:val="0"/>
              <w:adjustRightInd/>
              <w:snapToGrid/>
              <w:spacing w:line="340" w:lineRule="exact"/>
              <w:ind w:right="231" w:firstLine="480" w:firstLineChars="200"/>
              <w:jc w:val="both"/>
              <w:textAlignment w:val="auto"/>
              <w:rPr>
                <w:rFonts w:ascii="楷体" w:hAnsi="楷体" w:eastAsia="楷体" w:cs="楷体"/>
                <w:snapToGrid w:val="0"/>
                <w:spacing w:val="0"/>
                <w:sz w:val="28"/>
                <w:szCs w:val="28"/>
                <w:lang w:eastAsia="zh-CN"/>
              </w:rPr>
            </w:pPr>
            <w:r>
              <w:rPr>
                <w:rFonts w:ascii="楷体" w:hAnsi="楷体" w:eastAsia="楷体" w:cs="楷体"/>
                <w:snapToGrid w:val="0"/>
                <w:spacing w:val="0"/>
                <w:sz w:val="24"/>
                <w:szCs w:val="24"/>
                <w:lang w:eastAsia="zh-CN"/>
              </w:rPr>
              <w:t>综合应用大数据、人工智能、区块链等技术，探索建设国家学分银行市级落地平台，重点实现学籍学历、综合素质评价、考试招生、职业培训、学分互认等服务功能，搭建学习资历框架，拓宽技术技能人才成长通道。</w:t>
            </w:r>
          </w:p>
        </w:tc>
      </w:tr>
      <w:tr>
        <w:tblPrEx>
          <w:tblCellMar>
            <w:top w:w="0" w:type="dxa"/>
            <w:left w:w="0" w:type="dxa"/>
            <w:bottom w:w="0" w:type="dxa"/>
            <w:right w:w="0" w:type="dxa"/>
          </w:tblCellMar>
        </w:tblPrEx>
        <w:trPr>
          <w:trHeight w:val="1644" w:hRule="exact"/>
        </w:trPr>
        <w:tc>
          <w:tcPr>
            <w:tcW w:w="2078" w:type="dxa"/>
            <w:tcBorders>
              <w:top w:val="single" w:color="000000" w:sz="4" w:space="0"/>
              <w:left w:val="single" w:color="000000" w:sz="4" w:space="0"/>
              <w:bottom w:val="single" w:color="000000" w:sz="4" w:space="0"/>
              <w:right w:val="single" w:color="000000" w:sz="4" w:space="0"/>
            </w:tcBorders>
          </w:tcPr>
          <w:p>
            <w:pPr>
              <w:pStyle w:val="35"/>
              <w:keepNext w:val="0"/>
              <w:keepLines w:val="0"/>
              <w:pageBreakBefore w:val="0"/>
              <w:widowControl w:val="0"/>
              <w:kinsoku/>
              <w:wordWrap/>
              <w:overflowPunct/>
              <w:topLinePunct w:val="0"/>
              <w:autoSpaceDE/>
              <w:autoSpaceDN/>
              <w:bidi w:val="0"/>
              <w:adjustRightInd/>
              <w:snapToGrid/>
              <w:spacing w:before="8" w:line="340" w:lineRule="exact"/>
              <w:textAlignment w:val="auto"/>
              <w:rPr>
                <w:rFonts w:ascii="楷体" w:hAnsi="楷体" w:eastAsia="楷体" w:cs="楷体"/>
                <w:snapToGrid w:val="0"/>
                <w:spacing w:val="0"/>
                <w:sz w:val="24"/>
                <w:szCs w:val="24"/>
                <w:lang w:eastAsia="zh-CN"/>
              </w:rPr>
            </w:pPr>
          </w:p>
          <w:p>
            <w:pPr>
              <w:pStyle w:val="35"/>
              <w:keepNext w:val="0"/>
              <w:keepLines w:val="0"/>
              <w:pageBreakBefore w:val="0"/>
              <w:widowControl w:val="0"/>
              <w:kinsoku/>
              <w:wordWrap/>
              <w:overflowPunct/>
              <w:topLinePunct w:val="0"/>
              <w:autoSpaceDE/>
              <w:autoSpaceDN/>
              <w:bidi w:val="0"/>
              <w:adjustRightInd/>
              <w:snapToGrid/>
              <w:spacing w:line="340" w:lineRule="exact"/>
              <w:ind w:left="102" w:right="107"/>
              <w:textAlignment w:val="auto"/>
              <w:rPr>
                <w:rFonts w:ascii="楷体" w:hAnsi="楷体" w:eastAsia="楷体" w:cs="楷体"/>
                <w:snapToGrid w:val="0"/>
                <w:spacing w:val="0"/>
                <w:sz w:val="24"/>
                <w:szCs w:val="24"/>
                <w:lang w:eastAsia="zh-CN"/>
              </w:rPr>
            </w:pPr>
          </w:p>
          <w:p>
            <w:pPr>
              <w:pStyle w:val="35"/>
              <w:keepNext w:val="0"/>
              <w:keepLines w:val="0"/>
              <w:pageBreakBefore w:val="0"/>
              <w:widowControl w:val="0"/>
              <w:kinsoku/>
              <w:wordWrap/>
              <w:overflowPunct/>
              <w:topLinePunct w:val="0"/>
              <w:autoSpaceDE/>
              <w:autoSpaceDN/>
              <w:bidi w:val="0"/>
              <w:adjustRightInd/>
              <w:snapToGrid/>
              <w:spacing w:line="340" w:lineRule="exact"/>
              <w:ind w:right="107"/>
              <w:textAlignment w:val="auto"/>
              <w:rPr>
                <w:rFonts w:ascii="楷体" w:hAnsi="楷体" w:eastAsia="楷体" w:cs="楷体"/>
                <w:snapToGrid w:val="0"/>
                <w:spacing w:val="0"/>
                <w:sz w:val="24"/>
                <w:szCs w:val="24"/>
                <w:lang w:eastAsia="zh-CN"/>
              </w:rPr>
            </w:pPr>
            <w:r>
              <w:rPr>
                <w:rFonts w:ascii="楷体" w:hAnsi="楷体" w:eastAsia="楷体" w:cs="楷体"/>
                <w:snapToGrid w:val="0"/>
                <w:spacing w:val="0"/>
                <w:sz w:val="24"/>
                <w:szCs w:val="24"/>
                <w:lang w:eastAsia="zh-CN"/>
              </w:rPr>
              <w:t>开放大学综合改革</w:t>
            </w:r>
          </w:p>
        </w:tc>
        <w:tc>
          <w:tcPr>
            <w:tcW w:w="6853" w:type="dxa"/>
            <w:tcBorders>
              <w:top w:val="single" w:color="000000" w:sz="4" w:space="0"/>
              <w:left w:val="single" w:color="000000" w:sz="4" w:space="0"/>
              <w:bottom w:val="single" w:color="000000" w:sz="4" w:space="0"/>
              <w:right w:val="single" w:color="000000" w:sz="4" w:space="0"/>
            </w:tcBorders>
          </w:tcPr>
          <w:p>
            <w:pPr>
              <w:pStyle w:val="35"/>
              <w:keepNext w:val="0"/>
              <w:keepLines w:val="0"/>
              <w:pageBreakBefore w:val="0"/>
              <w:widowControl w:val="0"/>
              <w:kinsoku/>
              <w:wordWrap/>
              <w:overflowPunct/>
              <w:topLinePunct w:val="0"/>
              <w:autoSpaceDE/>
              <w:autoSpaceDN/>
              <w:bidi w:val="0"/>
              <w:adjustRightInd/>
              <w:snapToGrid/>
              <w:spacing w:before="197" w:line="340" w:lineRule="exact"/>
              <w:ind w:right="-33" w:firstLine="480" w:firstLineChars="200"/>
              <w:textAlignment w:val="auto"/>
              <w:rPr>
                <w:rFonts w:ascii="楷体" w:hAnsi="楷体" w:eastAsia="楷体" w:cs="楷体"/>
                <w:snapToGrid w:val="0"/>
                <w:spacing w:val="0"/>
                <w:sz w:val="28"/>
                <w:szCs w:val="28"/>
                <w:lang w:eastAsia="zh-CN"/>
              </w:rPr>
            </w:pPr>
            <w:r>
              <w:rPr>
                <w:rFonts w:ascii="楷体" w:hAnsi="楷体" w:eastAsia="楷体" w:cs="楷体"/>
                <w:snapToGrid w:val="0"/>
                <w:spacing w:val="0"/>
                <w:sz w:val="24"/>
                <w:szCs w:val="24"/>
                <w:lang w:eastAsia="zh-CN"/>
              </w:rPr>
              <w:t>制定实施《驻马店市开放大学综合改革方案》，加快构建覆盖全市的开放大学、社区大学、老年大学一体化办学体系。探索高等教育、职业教育与继续教育融合发展。建设服务全民终身学习的一体化在线教育公共服务平台，扩大终身教育线上教学资源。</w:t>
            </w:r>
          </w:p>
        </w:tc>
      </w:tr>
      <w:tr>
        <w:tblPrEx>
          <w:tblCellMar>
            <w:top w:w="0" w:type="dxa"/>
            <w:left w:w="0" w:type="dxa"/>
            <w:bottom w:w="0" w:type="dxa"/>
            <w:right w:w="0" w:type="dxa"/>
          </w:tblCellMar>
        </w:tblPrEx>
        <w:trPr>
          <w:trHeight w:val="1441" w:hRule="exact"/>
        </w:trPr>
        <w:tc>
          <w:tcPr>
            <w:tcW w:w="2078" w:type="dxa"/>
            <w:tcBorders>
              <w:top w:val="single" w:color="000000" w:sz="4" w:space="0"/>
              <w:left w:val="single" w:color="000000" w:sz="4" w:space="0"/>
              <w:bottom w:val="single" w:color="000000" w:sz="4" w:space="0"/>
              <w:right w:val="single" w:color="000000" w:sz="4" w:space="0"/>
            </w:tcBorders>
          </w:tcPr>
          <w:p>
            <w:pPr>
              <w:pStyle w:val="35"/>
              <w:keepNext w:val="0"/>
              <w:keepLines w:val="0"/>
              <w:pageBreakBefore w:val="0"/>
              <w:widowControl w:val="0"/>
              <w:kinsoku/>
              <w:wordWrap/>
              <w:overflowPunct/>
              <w:topLinePunct w:val="0"/>
              <w:autoSpaceDE/>
              <w:autoSpaceDN/>
              <w:bidi w:val="0"/>
              <w:adjustRightInd/>
              <w:snapToGrid/>
              <w:spacing w:line="340" w:lineRule="exact"/>
              <w:textAlignment w:val="auto"/>
              <w:rPr>
                <w:rFonts w:ascii="楷体" w:hAnsi="楷体" w:eastAsia="楷体" w:cs="楷体"/>
                <w:snapToGrid w:val="0"/>
                <w:spacing w:val="0"/>
                <w:sz w:val="24"/>
                <w:szCs w:val="24"/>
                <w:lang w:eastAsia="zh-CN"/>
              </w:rPr>
            </w:pPr>
          </w:p>
          <w:p>
            <w:pPr>
              <w:pStyle w:val="35"/>
              <w:keepNext w:val="0"/>
              <w:keepLines w:val="0"/>
              <w:pageBreakBefore w:val="0"/>
              <w:widowControl w:val="0"/>
              <w:kinsoku/>
              <w:wordWrap/>
              <w:overflowPunct/>
              <w:topLinePunct w:val="0"/>
              <w:autoSpaceDE/>
              <w:autoSpaceDN/>
              <w:bidi w:val="0"/>
              <w:adjustRightInd/>
              <w:snapToGrid/>
              <w:spacing w:line="340" w:lineRule="exact"/>
              <w:ind w:right="104"/>
              <w:textAlignment w:val="auto"/>
              <w:rPr>
                <w:rFonts w:ascii="楷体" w:hAnsi="楷体" w:eastAsia="楷体" w:cs="楷体"/>
                <w:snapToGrid w:val="0"/>
                <w:spacing w:val="0"/>
                <w:sz w:val="24"/>
                <w:szCs w:val="24"/>
                <w:lang w:eastAsia="zh-CN"/>
              </w:rPr>
            </w:pPr>
            <w:r>
              <w:rPr>
                <w:rFonts w:ascii="楷体" w:hAnsi="楷体" w:eastAsia="楷体" w:cs="楷体"/>
                <w:snapToGrid w:val="0"/>
                <w:spacing w:val="0"/>
                <w:sz w:val="24"/>
                <w:szCs w:val="24"/>
                <w:lang w:eastAsia="zh-CN"/>
              </w:rPr>
              <w:t>继续教育转型发展</w:t>
            </w:r>
          </w:p>
        </w:tc>
        <w:tc>
          <w:tcPr>
            <w:tcW w:w="6853" w:type="dxa"/>
            <w:tcBorders>
              <w:top w:val="single" w:color="000000" w:sz="4" w:space="0"/>
              <w:left w:val="single" w:color="000000" w:sz="4" w:space="0"/>
              <w:bottom w:val="single" w:color="000000" w:sz="4" w:space="0"/>
              <w:right w:val="single" w:color="000000" w:sz="4" w:space="0"/>
            </w:tcBorders>
          </w:tcPr>
          <w:p>
            <w:pPr>
              <w:pStyle w:val="35"/>
              <w:keepNext w:val="0"/>
              <w:keepLines w:val="0"/>
              <w:pageBreakBefore w:val="0"/>
              <w:widowControl w:val="0"/>
              <w:kinsoku/>
              <w:wordWrap/>
              <w:overflowPunct/>
              <w:topLinePunct w:val="0"/>
              <w:autoSpaceDE/>
              <w:autoSpaceDN/>
              <w:bidi w:val="0"/>
              <w:adjustRightInd/>
              <w:snapToGrid/>
              <w:spacing w:before="66" w:line="340" w:lineRule="exact"/>
              <w:ind w:right="231" w:firstLine="480" w:firstLineChars="200"/>
              <w:jc w:val="both"/>
              <w:textAlignment w:val="auto"/>
              <w:rPr>
                <w:rFonts w:ascii="楷体" w:hAnsi="楷体" w:eastAsia="楷体" w:cs="楷体"/>
                <w:snapToGrid w:val="0"/>
                <w:spacing w:val="0"/>
                <w:sz w:val="28"/>
                <w:szCs w:val="28"/>
                <w:lang w:eastAsia="zh-CN"/>
              </w:rPr>
            </w:pPr>
            <w:r>
              <w:rPr>
                <w:rFonts w:ascii="楷体" w:hAnsi="楷体" w:eastAsia="楷体" w:cs="楷体"/>
                <w:snapToGrid w:val="0"/>
                <w:spacing w:val="0"/>
                <w:sz w:val="24"/>
                <w:szCs w:val="24"/>
                <w:lang w:eastAsia="zh-CN"/>
              </w:rPr>
              <w:t>推进高校继续教育在办学定位、培养模式、质量保障等方面规范转型发展，紧密对接产业加强专业建设，强化实践技能培养。鼓励高校与部门、企业、社会机构开发提供订单式、个性化非学历继续教育培训项目。</w:t>
            </w:r>
          </w:p>
        </w:tc>
      </w:tr>
    </w:tbl>
    <w:p>
      <w:pPr>
        <w:pStyle w:val="4"/>
        <w:pageBreakBefore w:val="0"/>
        <w:kinsoku/>
        <w:wordWrap/>
        <w:overflowPunct/>
        <w:topLinePunct w:val="0"/>
        <w:autoSpaceDE/>
        <w:autoSpaceDN/>
        <w:bidi w:val="0"/>
        <w:spacing w:line="500" w:lineRule="exact"/>
        <w:ind w:firstLine="642" w:firstLineChars="200"/>
        <w:textAlignment w:val="auto"/>
        <w:rPr>
          <w:snapToGrid w:val="0"/>
          <w:spacing w:val="0"/>
          <w:szCs w:val="32"/>
        </w:rPr>
      </w:pPr>
      <w:bookmarkStart w:id="91" w:name="_Toc14390"/>
      <w:bookmarkStart w:id="92" w:name="_Toc24706"/>
      <w:bookmarkStart w:id="93" w:name="_Toc21675"/>
      <w:r>
        <w:rPr>
          <w:rFonts w:hint="eastAsia"/>
          <w:snapToGrid w:val="0"/>
          <w:spacing w:val="0"/>
          <w:szCs w:val="32"/>
        </w:rPr>
        <w:t>七、深化教育领域综合改革</w:t>
      </w:r>
      <w:bookmarkEnd w:id="91"/>
      <w:bookmarkEnd w:id="92"/>
      <w:bookmarkEnd w:id="93"/>
    </w:p>
    <w:p>
      <w:pPr>
        <w:pageBreakBefore w:val="0"/>
        <w:kinsoku/>
        <w:wordWrap/>
        <w:overflowPunct/>
        <w:topLinePunct w:val="0"/>
        <w:autoSpaceDE/>
        <w:autoSpaceDN/>
        <w:bidi w:val="0"/>
        <w:adjustRightInd w:val="0"/>
        <w:snapToGrid w:val="0"/>
        <w:spacing w:line="500" w:lineRule="exact"/>
        <w:ind w:firstLine="560" w:firstLineChars="200"/>
        <w:jc w:val="left"/>
        <w:textAlignment w:val="auto"/>
        <w:rPr>
          <w:rFonts w:ascii="仿宋_GB2312" w:hAnsi="仿宋_GB2312" w:eastAsia="仿宋_GB2312" w:cs="仿宋_GB2312"/>
          <w:bCs/>
          <w:snapToGrid w:val="0"/>
          <w:spacing w:val="0"/>
          <w:sz w:val="28"/>
          <w:szCs w:val="28"/>
        </w:rPr>
      </w:pPr>
      <w:r>
        <w:rPr>
          <w:rFonts w:ascii="仿宋_GB2312" w:hAnsi="仿宋_GB2312" w:eastAsia="仿宋_GB2312" w:cs="仿宋_GB2312"/>
          <w:bCs/>
          <w:snapToGrid w:val="0"/>
          <w:spacing w:val="0"/>
          <w:sz w:val="28"/>
          <w:szCs w:val="28"/>
        </w:rPr>
        <w:t>坚持立德树人根本任务，以教育评价改革为牵引，统筹推进育人方式、办学模式、管理体制、保障机制改革，切实增强教育改革的系统性、整体性、协同性，着力优化同新发展格局相适应的教育结构、学科专业结构、人才培养结构，激发教育发展活力，提升教育治理能力和水平。</w:t>
      </w:r>
      <w:bookmarkStart w:id="94" w:name="（一）深化新时代教育评价改革"/>
      <w:bookmarkEnd w:id="94"/>
      <w:bookmarkStart w:id="95" w:name="_bookmark31"/>
      <w:bookmarkEnd w:id="95"/>
    </w:p>
    <w:p>
      <w:pPr>
        <w:pageBreakBefore w:val="0"/>
        <w:kinsoku/>
        <w:wordWrap/>
        <w:overflowPunct/>
        <w:topLinePunct w:val="0"/>
        <w:autoSpaceDE/>
        <w:autoSpaceDN/>
        <w:bidi w:val="0"/>
        <w:adjustRightInd w:val="0"/>
        <w:snapToGrid w:val="0"/>
        <w:spacing w:line="500" w:lineRule="exact"/>
        <w:ind w:firstLine="600" w:firstLineChars="200"/>
        <w:jc w:val="left"/>
        <w:textAlignment w:val="auto"/>
        <w:outlineLvl w:val="1"/>
        <w:rPr>
          <w:rFonts w:ascii="楷体" w:hAnsi="楷体" w:eastAsia="楷体" w:cs="楷体"/>
          <w:bCs/>
          <w:snapToGrid w:val="0"/>
          <w:spacing w:val="0"/>
          <w:sz w:val="30"/>
          <w:szCs w:val="30"/>
        </w:rPr>
      </w:pPr>
      <w:bookmarkStart w:id="96" w:name="_Toc28290"/>
      <w:bookmarkStart w:id="97" w:name="_Toc15895"/>
      <w:r>
        <w:rPr>
          <w:rFonts w:hint="eastAsia" w:ascii="楷体" w:hAnsi="楷体" w:eastAsia="楷体" w:cs="楷体"/>
          <w:bCs/>
          <w:snapToGrid w:val="0"/>
          <w:spacing w:val="0"/>
          <w:sz w:val="30"/>
          <w:szCs w:val="30"/>
        </w:rPr>
        <w:t>（一）深化新时代教育评价改革</w:t>
      </w:r>
      <w:bookmarkEnd w:id="96"/>
      <w:bookmarkEnd w:id="97"/>
    </w:p>
    <w:p>
      <w:pPr>
        <w:pageBreakBefore w:val="0"/>
        <w:kinsoku/>
        <w:wordWrap/>
        <w:overflowPunct/>
        <w:topLinePunct w:val="0"/>
        <w:autoSpaceDE/>
        <w:autoSpaceDN/>
        <w:bidi w:val="0"/>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积极落实《深化新时代教育评价改革总体方案》，统筹推进党委和政府教育工作评价、学校评价、教师评价、学生评价和用人评价等关键领域评价改革，完善立德树人体制机制，扭转不科学的教育评价导向，坚决克服唯分数、唯升学、唯文凭、唯论文、唯帽子的顽瘴痼疾，引导全社会树立科学的教育发展观、人才成长观、选人用人观，构建政府、学校、社会多元参与的教育评价体系。</w:t>
      </w:r>
    </w:p>
    <w:p>
      <w:pPr>
        <w:pageBreakBefore w:val="0"/>
        <w:kinsoku/>
        <w:wordWrap/>
        <w:overflowPunct/>
        <w:topLinePunct w:val="0"/>
        <w:autoSpaceDE/>
        <w:autoSpaceDN/>
        <w:bidi w:val="0"/>
        <w:spacing w:line="50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深化中招考试制度改革。将义务教育课程设置方案设定的除综合实践活动外的全部科目，纳入初中学业水平考试范围。改进中招体育测试内容、方式和计分办法，科学确定并逐步提高分值。探索开展中招艺术考试，科学设置考试内容与评价方法。完善学生综合素质评价实施办法，突出重点,规范过程,增强可操作性,强化激励、诊断与改进功能。推进实施基于初中学业水平考试成绩、结合综合素质评价的考试招生录取模式。</w:t>
      </w:r>
      <w:r>
        <w:rPr>
          <w:rFonts w:hint="eastAsia" w:ascii="仿宋_GB2312" w:hAnsi="仿宋_GB2312" w:eastAsia="仿宋_GB2312" w:cs="仿宋_GB2312"/>
          <w:sz w:val="28"/>
          <w:szCs w:val="28"/>
          <w:lang w:eastAsia="zh-CN"/>
        </w:rPr>
        <w:t>进一步落实公民同招，规范招生行为。</w:t>
      </w:r>
    </w:p>
    <w:p>
      <w:pPr>
        <w:pStyle w:val="14"/>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500" w:lineRule="exact"/>
        <w:ind w:left="0" w:right="0" w:firstLine="560" w:firstLineChars="200"/>
        <w:jc w:val="left"/>
        <w:textAlignment w:val="auto"/>
        <w:rPr>
          <w:rFonts w:hint="eastAsia"/>
          <w:color w:val="FF0000"/>
          <w:lang w:eastAsia="zh-CN"/>
        </w:rPr>
      </w:pPr>
      <w:r>
        <w:rPr>
          <w:rFonts w:hint="eastAsia" w:ascii="仿宋_GB2312" w:hAnsi="仿宋_GB2312" w:eastAsia="仿宋_GB2312" w:cs="仿宋_GB2312"/>
          <w:b w:val="0"/>
          <w:bCs w:val="0"/>
          <w:i w:val="0"/>
          <w:iCs w:val="0"/>
          <w:caps w:val="0"/>
          <w:color w:val="000000"/>
          <w:spacing w:val="0"/>
          <w:sz w:val="28"/>
          <w:szCs w:val="28"/>
          <w:shd w:val="clear" w:fill="FFFFFF"/>
        </w:rPr>
        <w:t>落实高等职业教育考试招生改革制度。积极参与“职教高考”制度改革，完善“文化素质+职业技能”考试办法，加大职业技能考试比重，探索形式多样的技术技能人才贯通培养模式，开展中等职业教育学业水平测试，推动建立符合职业教育类型特征的人才选拔模式。</w:t>
      </w:r>
      <w:r>
        <w:rPr>
          <w:rFonts w:hint="eastAsia" w:ascii="仿宋_GB2312" w:hAnsi="仿宋_GB2312" w:eastAsia="仿宋_GB2312" w:cs="仿宋_GB2312"/>
          <w:b w:val="0"/>
          <w:bCs w:val="0"/>
          <w:i w:val="0"/>
          <w:iCs w:val="0"/>
          <w:caps w:val="0"/>
          <w:color w:val="000000"/>
          <w:spacing w:val="0"/>
          <w:sz w:val="28"/>
          <w:szCs w:val="28"/>
          <w:shd w:val="clear" w:fill="FFFFFF"/>
        </w:rPr>
        <w:br w:type="textWrapping"/>
      </w:r>
      <w:r>
        <w:rPr>
          <w:rFonts w:hint="eastAsia" w:ascii="仿宋_GB2312" w:hAnsi="仿宋_GB2312" w:eastAsia="仿宋_GB2312" w:cs="仿宋_GB2312"/>
          <w:b w:val="0"/>
          <w:bCs w:val="0"/>
          <w:i w:val="0"/>
          <w:iCs w:val="0"/>
          <w:caps w:val="0"/>
          <w:color w:val="000000"/>
          <w:spacing w:val="0"/>
          <w:sz w:val="28"/>
          <w:szCs w:val="28"/>
          <w:shd w:val="clear" w:fill="FFFFFF"/>
          <w:lang w:val="en-US" w:eastAsia="zh-CN"/>
        </w:rPr>
        <w:t xml:space="preserve">   </w:t>
      </w:r>
      <w:r>
        <w:rPr>
          <w:rFonts w:hint="eastAsia" w:ascii="仿宋_GB2312" w:hAnsi="仿宋_GB2312" w:eastAsia="仿宋_GB2312" w:cs="仿宋_GB2312"/>
          <w:b w:val="0"/>
          <w:bCs w:val="0"/>
          <w:i w:val="0"/>
          <w:iCs w:val="0"/>
          <w:caps w:val="0"/>
          <w:color w:val="auto"/>
          <w:spacing w:val="0"/>
          <w:sz w:val="28"/>
          <w:szCs w:val="28"/>
          <w:shd w:val="clear" w:fill="FFFFFF"/>
          <w:lang w:val="en-US" w:eastAsia="zh-CN"/>
        </w:rPr>
        <w:t xml:space="preserve"> </w:t>
      </w:r>
      <w:r>
        <w:rPr>
          <w:rFonts w:hint="eastAsia" w:ascii="仿宋_GB2312" w:hAnsi="仿宋_GB2312" w:eastAsia="仿宋_GB2312" w:cs="仿宋_GB2312"/>
          <w:b w:val="0"/>
          <w:bCs w:val="0"/>
          <w:i w:val="0"/>
          <w:iCs w:val="0"/>
          <w:caps w:val="0"/>
          <w:color w:val="auto"/>
          <w:spacing w:val="0"/>
          <w:sz w:val="28"/>
          <w:szCs w:val="28"/>
          <w:shd w:val="clear" w:fill="FFFFFF"/>
        </w:rPr>
        <w:t>完善高中学业水平考试和学生综合素质评价制度。稳妥推进高考综合改革，构建高校基于考生统一高考和高中学业水平考试成绩、参考综合素质评价的多元化人才选拔评价方式，逐步形成分类考试、综合评价、多元录取的高校考试招生模式。</w:t>
      </w:r>
    </w:p>
    <w:p>
      <w:pPr>
        <w:pageBreakBefore w:val="0"/>
        <w:kinsoku/>
        <w:wordWrap/>
        <w:overflowPunct/>
        <w:topLinePunct w:val="0"/>
        <w:autoSpaceDE/>
        <w:autoSpaceDN/>
        <w:bidi w:val="0"/>
        <w:spacing w:line="500" w:lineRule="exact"/>
        <w:ind w:firstLine="600" w:firstLineChars="200"/>
        <w:textAlignment w:val="auto"/>
        <w:outlineLvl w:val="1"/>
        <w:rPr>
          <w:rFonts w:ascii="楷体" w:hAnsi="楷体" w:eastAsia="楷体" w:cs="楷体"/>
          <w:bCs/>
          <w:snapToGrid w:val="0"/>
          <w:spacing w:val="0"/>
          <w:sz w:val="30"/>
          <w:szCs w:val="30"/>
        </w:rPr>
      </w:pPr>
      <w:bookmarkStart w:id="98" w:name="_Toc24185"/>
      <w:bookmarkStart w:id="99" w:name="_Toc26300"/>
      <w:r>
        <w:rPr>
          <w:rFonts w:hint="eastAsia" w:ascii="楷体" w:hAnsi="楷体" w:eastAsia="楷体" w:cs="楷体"/>
          <w:bCs/>
          <w:snapToGrid w:val="0"/>
          <w:spacing w:val="0"/>
          <w:sz w:val="30"/>
          <w:szCs w:val="30"/>
        </w:rPr>
        <w:t>（二）大力推动育人方式改革</w:t>
      </w:r>
      <w:bookmarkEnd w:id="98"/>
      <w:bookmarkEnd w:id="99"/>
    </w:p>
    <w:p>
      <w:pPr>
        <w:pageBreakBefore w:val="0"/>
        <w:kinsoku/>
        <w:wordWrap/>
        <w:overflowPunct/>
        <w:topLinePunct w:val="0"/>
        <w:autoSpaceDE/>
        <w:autoSpaceDN/>
        <w:bidi w:val="0"/>
        <w:spacing w:line="500" w:lineRule="exact"/>
        <w:ind w:firstLine="560" w:firstLineChars="200"/>
        <w:textAlignment w:val="auto"/>
        <w:rPr>
          <w:rFonts w:hint="eastAsia" w:ascii="仿宋_GB2312" w:hAnsi="仿宋_GB2312" w:eastAsia="仿宋_GB2312" w:cs="仿宋_GB2312"/>
          <w:bCs/>
          <w:snapToGrid w:val="0"/>
          <w:color w:val="auto"/>
          <w:spacing w:val="0"/>
          <w:sz w:val="28"/>
          <w:szCs w:val="28"/>
          <w:lang w:eastAsia="zh-CN"/>
        </w:rPr>
      </w:pPr>
      <w:r>
        <w:rPr>
          <w:rFonts w:ascii="仿宋_GB2312" w:hAnsi="仿宋_GB2312" w:eastAsia="仿宋_GB2312" w:cs="仿宋_GB2312"/>
          <w:bCs/>
          <w:snapToGrid w:val="0"/>
          <w:color w:val="auto"/>
          <w:spacing w:val="0"/>
          <w:sz w:val="28"/>
          <w:szCs w:val="28"/>
        </w:rPr>
        <w:t>全面推进基础教育“三全育人”综合改革。构建德智体美劳全面培养“五育并举”的育人体系，突出德育实效，提升智育水平，强化体育锻炼，增强美育熏陶，加强劳动教育。</w:t>
      </w:r>
      <w:r>
        <w:rPr>
          <w:rFonts w:hint="eastAsia" w:ascii="仿宋_GB2312" w:hAnsi="仿宋_GB2312" w:eastAsia="仿宋_GB2312" w:cs="仿宋_GB2312"/>
          <w:bCs/>
          <w:snapToGrid w:val="0"/>
          <w:color w:val="auto"/>
          <w:spacing w:val="0"/>
          <w:sz w:val="28"/>
          <w:szCs w:val="28"/>
          <w:lang w:eastAsia="zh-CN"/>
        </w:rPr>
        <w:t>深化育人关键环节和重点领域改革，提高育人水平。不断深化新课程改革，落实“双减”政策，加强“五项管理”，构建全民育人体系。优化课程实施，有序推进普通高中选课走班，满足学生不同发展需要，加强学生发展指导，完善考试和招生制度。</w:t>
      </w:r>
    </w:p>
    <w:p>
      <w:pPr>
        <w:pageBreakBefore w:val="0"/>
        <w:kinsoku/>
        <w:wordWrap/>
        <w:overflowPunct/>
        <w:topLinePunct w:val="0"/>
        <w:autoSpaceDE/>
        <w:autoSpaceDN/>
        <w:bidi w:val="0"/>
        <w:spacing w:line="500" w:lineRule="exact"/>
        <w:ind w:firstLine="560" w:firstLineChars="200"/>
        <w:textAlignment w:val="auto"/>
        <w:rPr>
          <w:rFonts w:ascii="仿宋_GB2312" w:hAnsi="仿宋_GB2312" w:eastAsia="仿宋_GB2312" w:cs="仿宋_GB2312"/>
          <w:bCs/>
          <w:snapToGrid w:val="0"/>
          <w:spacing w:val="0"/>
          <w:sz w:val="28"/>
          <w:szCs w:val="28"/>
        </w:rPr>
      </w:pPr>
      <w:r>
        <w:rPr>
          <w:rFonts w:ascii="仿宋_GB2312" w:hAnsi="仿宋_GB2312" w:eastAsia="仿宋_GB2312" w:cs="仿宋_GB2312"/>
          <w:bCs/>
          <w:snapToGrid w:val="0"/>
          <w:spacing w:val="0"/>
          <w:sz w:val="28"/>
          <w:szCs w:val="28"/>
        </w:rPr>
        <w:t>推进职业教育校企“双元”育人模式改革。推动行业企业参与职业院校人才培养全过程，坚持知行合一、工学结合，实行校企共同研究制定人才培养方案，推动实现专业共建、课程共担、教材共编、师资共训、基地共享，及时将新技术、新工艺、新规范、新标准纳入课程教学内容。全面推行现代学徒制、企业新型学徒制、订单式培养等新型育人模式。把职业资格证书、职业技能等级证书相关内容及时融入教学，</w:t>
      </w:r>
      <w:r>
        <w:rPr>
          <w:rFonts w:ascii="仿宋_GB2312" w:hAnsi="仿宋_GB2312" w:eastAsia="仿宋_GB2312" w:cs="仿宋_GB2312"/>
          <w:bCs/>
          <w:snapToGrid w:val="0"/>
          <w:color w:val="auto"/>
          <w:spacing w:val="0"/>
          <w:sz w:val="28"/>
          <w:szCs w:val="28"/>
        </w:rPr>
        <w:t>充实</w:t>
      </w:r>
      <w:r>
        <w:rPr>
          <w:rFonts w:ascii="仿宋_GB2312" w:hAnsi="仿宋_GB2312" w:eastAsia="仿宋_GB2312" w:cs="仿宋_GB2312"/>
          <w:bCs/>
          <w:snapToGrid w:val="0"/>
          <w:spacing w:val="0"/>
          <w:sz w:val="28"/>
          <w:szCs w:val="28"/>
        </w:rPr>
        <w:t>提升相应的课程和专业，进一步提高技术技能人才培养的针对性和适应性。</w:t>
      </w:r>
    </w:p>
    <w:p>
      <w:pPr>
        <w:pageBreakBefore w:val="0"/>
        <w:kinsoku/>
        <w:wordWrap/>
        <w:overflowPunct/>
        <w:topLinePunct w:val="0"/>
        <w:autoSpaceDE/>
        <w:autoSpaceDN/>
        <w:bidi w:val="0"/>
        <w:spacing w:line="500" w:lineRule="exact"/>
        <w:ind w:firstLine="560" w:firstLineChars="200"/>
        <w:textAlignment w:val="auto"/>
        <w:rPr>
          <w:rFonts w:ascii="仿宋_GB2312" w:hAnsi="仿宋_GB2312" w:eastAsia="仿宋_GB2312" w:cs="仿宋_GB2312"/>
          <w:bCs/>
          <w:snapToGrid w:val="0"/>
          <w:spacing w:val="0"/>
          <w:sz w:val="28"/>
          <w:szCs w:val="28"/>
        </w:rPr>
      </w:pPr>
      <w:r>
        <w:rPr>
          <w:rFonts w:ascii="仿宋_GB2312" w:hAnsi="仿宋_GB2312" w:eastAsia="仿宋_GB2312" w:cs="仿宋_GB2312"/>
          <w:bCs/>
          <w:snapToGrid w:val="0"/>
          <w:spacing w:val="0"/>
          <w:sz w:val="28"/>
          <w:szCs w:val="28"/>
        </w:rPr>
        <w:t>探索本科高校书院和学院双轨协同育人模式改革。实施推动高校思想政治教育、通识教育和专业教育协调发展，建立健全选课制、学业导师制、学分计量制、学分绩点制、补考重修制、主辅修制、学分互认制等学分制管理制度体系。</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ascii="仿宋_GB2312" w:hAnsi="仿宋_GB2312" w:eastAsia="仿宋_GB2312" w:cs="仿宋_GB2312"/>
          <w:bCs/>
          <w:snapToGrid w:val="0"/>
          <w:spacing w:val="0"/>
          <w:sz w:val="28"/>
          <w:szCs w:val="28"/>
        </w:rPr>
      </w:pPr>
      <w:r>
        <w:rPr>
          <w:rFonts w:ascii="仿宋_GB2312" w:hAnsi="仿宋_GB2312" w:eastAsia="仿宋_GB2312" w:cs="仿宋_GB2312"/>
          <w:bCs/>
          <w:snapToGrid w:val="0"/>
          <w:spacing w:val="0"/>
          <w:sz w:val="28"/>
          <w:szCs w:val="28"/>
        </w:rPr>
        <w:t>促进教育在5G时代的创新发展。支持学校充分利用信息技术开展人才培养模式和教学方法改革，支持差异化的“教”和个性化的“学”，推动教育教学方式由“以教师为中心”向“以学生为中心”的转变，促进学生自主有效学习，构建新型师生关系。推行场景式、体验式、沉浸式学习,构建线上线下混合式学习、课内课外各学科互相融通的学习新生态。探索开展基于智能技术的教学评价创新实践，使教育教学评价更加全面、客观、高效。</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jc w:val="left"/>
        <w:textAlignment w:val="auto"/>
        <w:outlineLvl w:val="1"/>
        <w:rPr>
          <w:rFonts w:ascii="楷体" w:hAnsi="楷体" w:eastAsia="楷体" w:cs="楷体"/>
          <w:bCs/>
          <w:snapToGrid w:val="0"/>
          <w:spacing w:val="0"/>
          <w:sz w:val="30"/>
          <w:szCs w:val="30"/>
        </w:rPr>
      </w:pPr>
      <w:bookmarkStart w:id="100" w:name="_Toc6545"/>
      <w:bookmarkStart w:id="101" w:name="_Toc13411"/>
      <w:r>
        <w:rPr>
          <w:rFonts w:hint="eastAsia" w:ascii="楷体" w:hAnsi="楷体" w:eastAsia="楷体" w:cs="楷体"/>
          <w:bCs/>
          <w:snapToGrid w:val="0"/>
          <w:spacing w:val="0"/>
          <w:sz w:val="30"/>
          <w:szCs w:val="30"/>
        </w:rPr>
        <w:t>（三）加快推进办学模式改革</w:t>
      </w:r>
      <w:bookmarkEnd w:id="100"/>
      <w:bookmarkEnd w:id="101"/>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ascii="仿宋_GB2312" w:hAnsi="仿宋_GB2312" w:eastAsia="仿宋_GB2312" w:cs="仿宋_GB2312"/>
          <w:bCs/>
          <w:snapToGrid w:val="0"/>
          <w:spacing w:val="0"/>
          <w:sz w:val="28"/>
          <w:szCs w:val="28"/>
        </w:rPr>
      </w:pPr>
      <w:r>
        <w:rPr>
          <w:rFonts w:ascii="仿宋_GB2312" w:hAnsi="仿宋_GB2312" w:eastAsia="仿宋_GB2312" w:cs="仿宋_GB2312"/>
          <w:bCs/>
          <w:snapToGrid w:val="0"/>
          <w:spacing w:val="0"/>
          <w:sz w:val="28"/>
          <w:szCs w:val="28"/>
        </w:rPr>
        <w:t>推进义务教育学校集团化办学改革。完善义务教育学校集团化办学体制机制，统筹区域内教育资源，采取“名校+薄弱校”“名校+乡村校”“名校+新建校”等多种形式实施集团化办学，推进教育集团内部学校之间优势互补、合力发展，促进新优质学校成长。</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ascii="仿宋_GB2312" w:hAnsi="仿宋_GB2312" w:eastAsia="仿宋_GB2312" w:cs="仿宋_GB2312"/>
          <w:bCs/>
          <w:snapToGrid w:val="0"/>
          <w:spacing w:val="0"/>
          <w:sz w:val="28"/>
          <w:szCs w:val="28"/>
        </w:rPr>
      </w:pPr>
      <w:r>
        <w:rPr>
          <w:rFonts w:ascii="仿宋_GB2312" w:hAnsi="仿宋_GB2312" w:eastAsia="仿宋_GB2312" w:cs="仿宋_GB2312"/>
          <w:bCs/>
          <w:snapToGrid w:val="0"/>
          <w:spacing w:val="0"/>
          <w:sz w:val="28"/>
          <w:szCs w:val="28"/>
        </w:rPr>
        <w:t>深化职业教育办学模式改革。构建政府统筹管理、行业企业积极举办、社会力量深度参与的多元办学格局。支持各类企业依法参与举办职业教育，健全行业企业参与办学的体制机制和支持政策。鼓励社会力量以股份制、混合所有制等形式参与举办职业院校和培训机构，鼓励职业学校与社会资本合作共建实训基地等职业教育基础设施。探索职业教育集团化办学模式，培育建设一批示范性职教集团。</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ascii="仿宋_GB2312" w:hAnsi="仿宋_GB2312" w:eastAsia="仿宋_GB2312" w:cs="仿宋_GB2312"/>
          <w:snapToGrid w:val="0"/>
          <w:color w:val="000000" w:themeColor="text1"/>
          <w:spacing w:val="0"/>
          <w:sz w:val="28"/>
          <w:szCs w:val="28"/>
          <w14:textFill>
            <w14:solidFill>
              <w14:schemeClr w14:val="tx1"/>
            </w14:solidFill>
          </w14:textFill>
        </w:rPr>
      </w:pPr>
      <w:r>
        <w:rPr>
          <w:rFonts w:ascii="仿宋_GB2312" w:hAnsi="仿宋_GB2312" w:eastAsia="仿宋_GB2312" w:cs="仿宋_GB2312"/>
          <w:bCs/>
          <w:snapToGrid w:val="0"/>
          <w:spacing w:val="0"/>
          <w:sz w:val="28"/>
          <w:szCs w:val="28"/>
        </w:rPr>
        <w:t>推动高等学校产业学院办学改革。深化产教融合，充分发挥政府、企业、行业多元办学主体作用，健全多元化办学格局，推动企业深度参与协同育人。探索扩大高等学校产业</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学院办学自主权，鼓励高校扩大产业学院人权、事权、财权，激发产业学院办学活力。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bCs/>
          <w:snapToGrid w:val="0"/>
          <w:spacing w:val="0"/>
          <w:sz w:val="28"/>
          <w:szCs w:val="28"/>
        </w:rPr>
      </w:pP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支持和规范民办教育健康发展。稳步推进民办学校分类管理改革，健全对非营利性与营利性民办学校的分</w:t>
      </w:r>
      <w:r>
        <w:rPr>
          <w:rFonts w:ascii="仿宋_GB2312" w:hAnsi="仿宋_GB2312" w:eastAsia="仿宋_GB2312" w:cs="仿宋_GB2312"/>
          <w:bCs/>
          <w:snapToGrid w:val="0"/>
          <w:spacing w:val="0"/>
          <w:sz w:val="28"/>
          <w:szCs w:val="28"/>
        </w:rPr>
        <w:t>类监管机制。强化民办学校日常办学行为监管，加强年度检查，促进民办学校依法诚信办学。严格监管民办学校财务和资产行为，完善信息公开、审计制度。规范民办学校融资行为，防止资本无序扩张。完善民办学校内部治理，推动形成决策、执行、监督相互独立、相互制约的法人治理结构。健全对民办学校的支持政策，鼓励企业以独资、合资、合作等方式依法举办或者参与举办职业教育。</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1"/>
        <w:rPr>
          <w:rFonts w:ascii="楷体" w:hAnsi="楷体" w:eastAsia="楷体" w:cs="楷体"/>
          <w:bCs/>
          <w:snapToGrid w:val="0"/>
          <w:spacing w:val="0"/>
          <w:sz w:val="30"/>
          <w:szCs w:val="30"/>
        </w:rPr>
      </w:pPr>
      <w:bookmarkStart w:id="102" w:name="_Toc20830"/>
      <w:bookmarkStart w:id="103" w:name="_Toc15622"/>
      <w:r>
        <w:rPr>
          <w:rFonts w:hint="eastAsia" w:ascii="楷体" w:hAnsi="楷体" w:eastAsia="楷体" w:cs="楷体"/>
          <w:bCs/>
          <w:snapToGrid w:val="0"/>
          <w:spacing w:val="0"/>
          <w:sz w:val="30"/>
          <w:szCs w:val="30"/>
        </w:rPr>
        <w:t>（四）统筹推进管理体制和保障机制改革</w:t>
      </w:r>
      <w:bookmarkEnd w:id="102"/>
      <w:bookmarkEnd w:id="103"/>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bCs/>
          <w:snapToGrid w:val="0"/>
          <w:spacing w:val="0"/>
          <w:sz w:val="28"/>
          <w:szCs w:val="28"/>
        </w:rPr>
      </w:pPr>
      <w:r>
        <w:rPr>
          <w:rFonts w:hint="eastAsia" w:ascii="仿宋_GB2312" w:hAnsi="仿宋_GB2312" w:eastAsia="仿宋_GB2312" w:cs="仿宋_GB2312"/>
          <w:bCs/>
          <w:snapToGrid w:val="0"/>
          <w:spacing w:val="0"/>
          <w:sz w:val="28"/>
          <w:szCs w:val="28"/>
        </w:rPr>
        <w:t>加快教师管理体制改革。积极推进中小学教师“县管校聘”管理改革，以转换用人机制和创新用人制度为核心，着力破除教师管理体制机制障碍。推行校长教师竞聘上岗、交流轮岗制度、健全考核评价机制、完善保障和退出机制，促进教师合理流动。开展中小学校长职级制改革试点，坚持校长职业化、专业化发展原则,在试点区域取消学校机构规格和学校管理人员行政级别，建立校长职级序列，严格落实校长任职条件和专业标准，规范校长选任程序，完善校长考核管理与激励交流机制，逐步形成教育家办学治校的良好局面。</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Cs/>
          <w:snapToGrid w:val="0"/>
          <w:spacing w:val="0"/>
          <w:sz w:val="28"/>
          <w:szCs w:val="28"/>
        </w:rPr>
      </w:pPr>
      <w:r>
        <w:rPr>
          <w:rFonts w:hint="eastAsia" w:ascii="仿宋_GB2312" w:hAnsi="仿宋_GB2312" w:eastAsia="仿宋_GB2312" w:cs="仿宋_GB2312"/>
          <w:bCs/>
          <w:snapToGrid w:val="0"/>
          <w:spacing w:val="0"/>
          <w:sz w:val="28"/>
          <w:szCs w:val="28"/>
        </w:rPr>
        <w:t>统筹推进教育领域“放管服”改革。完善权力清单、责任清单和负面清单的规范运用及动态调整。健全监督管理，持续推进“双随机、一公开”监管、信用监管、“互联网+监管”、跨部门协同监管等有效做法，提高依法监管的严肃性、科学性和效能性。持续加大政务服务改革力度，提升政务服务质量和标准。推动“一网通办”前提下“一窗受理”“一次办结”“最多跑一次”“不见面审批”等政务改革向纵深发展。深化“证照分离”改革，推进直接取消审批、审批改为备案、实行告知承诺、优化审批服务四种方式分类改革。</w:t>
      </w:r>
    </w:p>
    <w:tbl>
      <w:tblPr>
        <w:tblStyle w:val="34"/>
        <w:tblW w:w="8647" w:type="dxa"/>
        <w:tblInd w:w="-137" w:type="dxa"/>
        <w:tblLayout w:type="fixed"/>
        <w:tblCellMar>
          <w:top w:w="0" w:type="dxa"/>
          <w:left w:w="0" w:type="dxa"/>
          <w:bottom w:w="0" w:type="dxa"/>
          <w:right w:w="0" w:type="dxa"/>
        </w:tblCellMar>
      </w:tblPr>
      <w:tblGrid>
        <w:gridCol w:w="1734"/>
        <w:gridCol w:w="6913"/>
      </w:tblGrid>
      <w:tr>
        <w:tblPrEx>
          <w:tblCellMar>
            <w:top w:w="0" w:type="dxa"/>
            <w:left w:w="0" w:type="dxa"/>
            <w:bottom w:w="0" w:type="dxa"/>
            <w:right w:w="0" w:type="dxa"/>
          </w:tblCellMar>
        </w:tblPrEx>
        <w:trPr>
          <w:trHeight w:val="461" w:hRule="exact"/>
        </w:trPr>
        <w:tc>
          <w:tcPr>
            <w:tcW w:w="8647" w:type="dxa"/>
            <w:gridSpan w:val="2"/>
            <w:tcBorders>
              <w:top w:val="single" w:color="000000" w:sz="4" w:space="0"/>
              <w:left w:val="single" w:color="000000" w:sz="4" w:space="0"/>
              <w:bottom w:val="single" w:color="000000" w:sz="4" w:space="0"/>
              <w:right w:val="single" w:color="000000" w:sz="4" w:space="0"/>
            </w:tcBorders>
          </w:tcPr>
          <w:p>
            <w:pPr>
              <w:pStyle w:val="35"/>
              <w:keepNext w:val="0"/>
              <w:keepLines w:val="0"/>
              <w:pageBreakBefore w:val="0"/>
              <w:widowControl w:val="0"/>
              <w:tabs>
                <w:tab w:val="left" w:pos="3307"/>
              </w:tabs>
              <w:kinsoku/>
              <w:wordWrap/>
              <w:overflowPunct/>
              <w:topLinePunct w:val="0"/>
              <w:autoSpaceDE/>
              <w:autoSpaceDN/>
              <w:bidi w:val="0"/>
              <w:adjustRightInd/>
              <w:snapToGrid/>
              <w:spacing w:before="101" w:line="340" w:lineRule="exact"/>
              <w:ind w:left="2119"/>
              <w:textAlignment w:val="auto"/>
              <w:rPr>
                <w:rFonts w:ascii="微软雅黑" w:hAnsi="微软雅黑" w:eastAsia="微软雅黑" w:cs="微软雅黑"/>
                <w:snapToGrid w:val="0"/>
                <w:spacing w:val="0"/>
                <w:sz w:val="30"/>
                <w:szCs w:val="30"/>
                <w:lang w:eastAsia="zh-CN"/>
              </w:rPr>
            </w:pPr>
            <w:r>
              <w:rPr>
                <w:rFonts w:hint="eastAsia" w:ascii="黑体" w:hAnsi="黑体" w:eastAsia="黑体" w:cs="黑体"/>
                <w:snapToGrid w:val="0"/>
                <w:spacing w:val="0"/>
                <w:sz w:val="32"/>
                <w:szCs w:val="32"/>
                <w:lang w:eastAsia="zh-CN"/>
              </w:rPr>
              <w:t>专栏</w:t>
            </w:r>
            <w:r>
              <w:rPr>
                <w:rFonts w:hint="eastAsia" w:ascii="黑体" w:hAnsi="黑体" w:eastAsia="黑体" w:cs="黑体"/>
                <w:snapToGrid w:val="0"/>
                <w:spacing w:val="0"/>
                <w:sz w:val="32"/>
                <w:szCs w:val="32"/>
                <w:lang w:val="en-US" w:eastAsia="zh-CN"/>
              </w:rPr>
              <w:t>5</w:t>
            </w:r>
            <w:r>
              <w:rPr>
                <w:rFonts w:hint="eastAsia" w:ascii="黑体" w:hAnsi="黑体" w:eastAsia="黑体" w:cs="黑体"/>
                <w:snapToGrid w:val="0"/>
                <w:spacing w:val="0"/>
                <w:sz w:val="32"/>
                <w:szCs w:val="32"/>
                <w:lang w:eastAsia="zh-CN"/>
              </w:rPr>
              <w:tab/>
            </w:r>
            <w:r>
              <w:rPr>
                <w:rFonts w:hint="eastAsia" w:ascii="黑体" w:hAnsi="黑体" w:eastAsia="黑体" w:cs="黑体"/>
                <w:snapToGrid w:val="0"/>
                <w:spacing w:val="0"/>
                <w:sz w:val="32"/>
                <w:szCs w:val="32"/>
                <w:lang w:eastAsia="zh-CN"/>
              </w:rPr>
              <w:t>教育综合改革推进工程</w:t>
            </w:r>
          </w:p>
        </w:tc>
      </w:tr>
      <w:tr>
        <w:tblPrEx>
          <w:tblCellMar>
            <w:top w:w="0" w:type="dxa"/>
            <w:left w:w="0" w:type="dxa"/>
            <w:bottom w:w="0" w:type="dxa"/>
            <w:right w:w="0" w:type="dxa"/>
          </w:tblCellMar>
        </w:tblPrEx>
        <w:trPr>
          <w:trHeight w:val="1488" w:hRule="exact"/>
        </w:trPr>
        <w:tc>
          <w:tcPr>
            <w:tcW w:w="1734" w:type="dxa"/>
            <w:tcBorders>
              <w:top w:val="single" w:color="000000" w:sz="4" w:space="0"/>
              <w:left w:val="single" w:color="000000" w:sz="4" w:space="0"/>
              <w:bottom w:val="single" w:color="000000" w:sz="4" w:space="0"/>
              <w:right w:val="single" w:color="000000" w:sz="4" w:space="0"/>
            </w:tcBorders>
          </w:tcPr>
          <w:p>
            <w:pPr>
              <w:pStyle w:val="35"/>
              <w:keepNext w:val="0"/>
              <w:keepLines w:val="0"/>
              <w:pageBreakBefore w:val="0"/>
              <w:widowControl w:val="0"/>
              <w:kinsoku/>
              <w:wordWrap/>
              <w:overflowPunct/>
              <w:topLinePunct w:val="0"/>
              <w:autoSpaceDE/>
              <w:autoSpaceDN/>
              <w:bidi w:val="0"/>
              <w:adjustRightInd/>
              <w:snapToGrid/>
              <w:spacing w:before="1" w:line="340" w:lineRule="exact"/>
              <w:jc w:val="both"/>
              <w:textAlignment w:val="auto"/>
              <w:rPr>
                <w:rFonts w:ascii="仿宋_GB2312" w:hAnsi="仿宋_GB2312" w:eastAsia="仿宋_GB2312" w:cs="仿宋_GB2312"/>
                <w:snapToGrid w:val="0"/>
                <w:spacing w:val="0"/>
                <w:sz w:val="24"/>
                <w:szCs w:val="24"/>
                <w:lang w:eastAsia="zh-CN"/>
              </w:rPr>
            </w:pPr>
          </w:p>
          <w:p>
            <w:pPr>
              <w:pStyle w:val="35"/>
              <w:keepNext w:val="0"/>
              <w:keepLines w:val="0"/>
              <w:pageBreakBefore w:val="0"/>
              <w:widowControl w:val="0"/>
              <w:kinsoku/>
              <w:wordWrap/>
              <w:overflowPunct/>
              <w:topLinePunct w:val="0"/>
              <w:autoSpaceDE/>
              <w:autoSpaceDN/>
              <w:bidi w:val="0"/>
              <w:adjustRightInd/>
              <w:snapToGrid/>
              <w:spacing w:line="340" w:lineRule="exact"/>
              <w:ind w:right="0" w:rightChars="0"/>
              <w:jc w:val="left"/>
              <w:textAlignment w:val="auto"/>
              <w:rPr>
                <w:rFonts w:ascii="楷体" w:hAnsi="楷体" w:eastAsia="楷体" w:cs="楷体"/>
                <w:snapToGrid w:val="0"/>
                <w:spacing w:val="0"/>
                <w:sz w:val="24"/>
                <w:szCs w:val="24"/>
                <w:lang w:eastAsia="zh-CN"/>
              </w:rPr>
            </w:pPr>
            <w:r>
              <w:rPr>
                <w:rFonts w:hint="eastAsia" w:ascii="楷体" w:hAnsi="楷体" w:eastAsia="楷体" w:cs="楷体"/>
                <w:snapToGrid w:val="0"/>
                <w:spacing w:val="0"/>
                <w:sz w:val="24"/>
                <w:szCs w:val="24"/>
                <w:lang w:eastAsia="zh-CN"/>
              </w:rPr>
              <w:t>深化考试招生制度改革</w:t>
            </w:r>
          </w:p>
        </w:tc>
        <w:tc>
          <w:tcPr>
            <w:tcW w:w="6913" w:type="dxa"/>
            <w:tcBorders>
              <w:top w:val="single" w:color="000000" w:sz="4" w:space="0"/>
              <w:left w:val="single" w:color="000000" w:sz="4" w:space="0"/>
              <w:bottom w:val="single" w:color="000000" w:sz="4" w:space="0"/>
              <w:right w:val="single" w:color="000000" w:sz="4" w:space="0"/>
            </w:tcBorders>
          </w:tcPr>
          <w:p>
            <w:pPr>
              <w:pStyle w:val="35"/>
              <w:keepNext w:val="0"/>
              <w:keepLines w:val="0"/>
              <w:pageBreakBefore w:val="0"/>
              <w:widowControl w:val="0"/>
              <w:kinsoku/>
              <w:wordWrap/>
              <w:overflowPunct/>
              <w:topLinePunct w:val="0"/>
              <w:autoSpaceDE/>
              <w:autoSpaceDN/>
              <w:bidi w:val="0"/>
              <w:adjustRightInd/>
              <w:snapToGrid/>
              <w:spacing w:line="340" w:lineRule="exact"/>
              <w:ind w:left="102" w:right="-32" w:firstLine="561"/>
              <w:textAlignment w:val="auto"/>
              <w:rPr>
                <w:rFonts w:ascii="楷体" w:hAnsi="楷体" w:eastAsia="楷体" w:cs="楷体"/>
                <w:snapToGrid w:val="0"/>
                <w:spacing w:val="0"/>
                <w:sz w:val="24"/>
                <w:szCs w:val="24"/>
                <w:lang w:eastAsia="zh-CN"/>
              </w:rPr>
            </w:pPr>
            <w:r>
              <w:rPr>
                <w:rFonts w:ascii="楷体" w:hAnsi="楷体" w:eastAsia="楷体" w:cs="楷体"/>
                <w:snapToGrid w:val="0"/>
                <w:spacing w:val="0"/>
                <w:sz w:val="24"/>
                <w:szCs w:val="24"/>
                <w:lang w:eastAsia="zh-CN"/>
              </w:rPr>
              <w:t>探索基于初中学业水平考试成绩、结合综合素质评价的中招考试录取模式。建立春季“职教高考”制度，完善“文化素质+职业技能”考试办法。实行基于高考和高中学业水平考试成绩,参考综合素质评价的多元人才选拔机制的高招考试招生制度。</w:t>
            </w:r>
          </w:p>
        </w:tc>
      </w:tr>
      <w:tr>
        <w:tblPrEx>
          <w:tblCellMar>
            <w:top w:w="0" w:type="dxa"/>
            <w:left w:w="0" w:type="dxa"/>
            <w:bottom w:w="0" w:type="dxa"/>
            <w:right w:w="0" w:type="dxa"/>
          </w:tblCellMar>
        </w:tblPrEx>
        <w:trPr>
          <w:trHeight w:val="1024" w:hRule="exact"/>
        </w:trPr>
        <w:tc>
          <w:tcPr>
            <w:tcW w:w="1734" w:type="dxa"/>
            <w:tcBorders>
              <w:top w:val="single" w:color="000000" w:sz="4" w:space="0"/>
              <w:left w:val="single" w:color="000000" w:sz="4" w:space="0"/>
              <w:bottom w:val="single" w:color="000000" w:sz="4" w:space="0"/>
              <w:right w:val="single" w:color="000000" w:sz="4" w:space="0"/>
            </w:tcBorders>
          </w:tcPr>
          <w:p>
            <w:pPr>
              <w:pStyle w:val="35"/>
              <w:keepNext w:val="0"/>
              <w:keepLines w:val="0"/>
              <w:pageBreakBefore w:val="0"/>
              <w:widowControl w:val="0"/>
              <w:kinsoku/>
              <w:wordWrap/>
              <w:overflowPunct/>
              <w:topLinePunct w:val="0"/>
              <w:autoSpaceDE/>
              <w:autoSpaceDN/>
              <w:bidi w:val="0"/>
              <w:adjustRightInd/>
              <w:snapToGrid/>
              <w:spacing w:line="340" w:lineRule="exact"/>
              <w:ind w:right="-32"/>
              <w:jc w:val="left"/>
              <w:textAlignment w:val="auto"/>
              <w:rPr>
                <w:rFonts w:ascii="楷体" w:hAnsi="楷体" w:eastAsia="楷体" w:cs="楷体"/>
                <w:snapToGrid w:val="0"/>
                <w:spacing w:val="0"/>
                <w:sz w:val="24"/>
                <w:szCs w:val="24"/>
                <w:lang w:eastAsia="zh-CN"/>
              </w:rPr>
            </w:pPr>
            <w:r>
              <w:rPr>
                <w:rFonts w:ascii="楷体" w:hAnsi="楷体" w:eastAsia="楷体" w:cs="楷体"/>
                <w:snapToGrid w:val="0"/>
                <w:spacing w:val="0"/>
                <w:sz w:val="24"/>
                <w:szCs w:val="24"/>
                <w:lang w:eastAsia="zh-CN"/>
              </w:rPr>
              <w:t>高校书院制育人模式改革示范项目</w:t>
            </w:r>
          </w:p>
        </w:tc>
        <w:tc>
          <w:tcPr>
            <w:tcW w:w="6913" w:type="dxa"/>
            <w:tcBorders>
              <w:top w:val="single" w:color="000000" w:sz="4" w:space="0"/>
              <w:left w:val="single" w:color="000000" w:sz="4" w:space="0"/>
              <w:right w:val="single" w:color="000000" w:sz="4" w:space="0"/>
            </w:tcBorders>
          </w:tcPr>
          <w:p>
            <w:pPr>
              <w:pStyle w:val="35"/>
              <w:keepNext w:val="0"/>
              <w:keepLines w:val="0"/>
              <w:pageBreakBefore w:val="0"/>
              <w:widowControl w:val="0"/>
              <w:kinsoku/>
              <w:wordWrap/>
              <w:overflowPunct/>
              <w:topLinePunct w:val="0"/>
              <w:autoSpaceDE/>
              <w:autoSpaceDN/>
              <w:bidi w:val="0"/>
              <w:adjustRightInd/>
              <w:snapToGrid/>
              <w:spacing w:line="340" w:lineRule="exact"/>
              <w:ind w:left="102" w:right="-32" w:firstLine="480" w:firstLineChars="200"/>
              <w:textAlignment w:val="auto"/>
              <w:rPr>
                <w:rFonts w:ascii="楷体" w:hAnsi="楷体" w:eastAsia="楷体" w:cs="楷体"/>
                <w:snapToGrid w:val="0"/>
                <w:spacing w:val="0"/>
                <w:sz w:val="24"/>
                <w:szCs w:val="24"/>
                <w:lang w:eastAsia="zh-CN"/>
              </w:rPr>
            </w:pPr>
            <w:r>
              <w:rPr>
                <w:rFonts w:ascii="楷体" w:hAnsi="楷体" w:eastAsia="楷体" w:cs="楷体"/>
                <w:snapToGrid w:val="0"/>
                <w:spacing w:val="0"/>
                <w:sz w:val="24"/>
                <w:szCs w:val="24"/>
                <w:lang w:eastAsia="zh-CN"/>
              </w:rPr>
              <w:t>探索推进</w:t>
            </w:r>
            <w:r>
              <w:rPr>
                <w:rFonts w:hint="eastAsia" w:ascii="楷体" w:hAnsi="楷体" w:eastAsia="楷体" w:cs="楷体"/>
                <w:snapToGrid w:val="0"/>
                <w:spacing w:val="0"/>
                <w:sz w:val="24"/>
                <w:szCs w:val="24"/>
                <w:lang w:eastAsia="zh-CN"/>
              </w:rPr>
              <w:t>黄淮</w:t>
            </w:r>
            <w:r>
              <w:rPr>
                <w:rFonts w:ascii="楷体" w:hAnsi="楷体" w:eastAsia="楷体" w:cs="楷体"/>
                <w:snapToGrid w:val="0"/>
                <w:spacing w:val="0"/>
                <w:sz w:val="24"/>
                <w:szCs w:val="24"/>
                <w:lang w:eastAsia="zh-CN"/>
              </w:rPr>
              <w:t>学院书院制育人模式改革，争取建成省级书院制育人改革示范高校，构建全员全程全方位育人格局。</w:t>
            </w:r>
          </w:p>
        </w:tc>
      </w:tr>
      <w:tr>
        <w:tblPrEx>
          <w:tblCellMar>
            <w:top w:w="0" w:type="dxa"/>
            <w:left w:w="0" w:type="dxa"/>
            <w:bottom w:w="0" w:type="dxa"/>
            <w:right w:w="0" w:type="dxa"/>
          </w:tblCellMar>
        </w:tblPrEx>
        <w:trPr>
          <w:trHeight w:val="1108" w:hRule="exact"/>
        </w:trPr>
        <w:tc>
          <w:tcPr>
            <w:tcW w:w="1734" w:type="dxa"/>
            <w:tcBorders>
              <w:top w:val="single" w:color="000000" w:sz="4" w:space="0"/>
              <w:left w:val="single" w:color="000000" w:sz="4" w:space="0"/>
              <w:bottom w:val="single" w:color="000000" w:sz="4" w:space="0"/>
              <w:right w:val="single" w:color="000000" w:sz="4" w:space="0"/>
            </w:tcBorders>
          </w:tcPr>
          <w:p>
            <w:pPr>
              <w:pStyle w:val="35"/>
              <w:keepNext w:val="0"/>
              <w:keepLines w:val="0"/>
              <w:pageBreakBefore w:val="0"/>
              <w:widowControl w:val="0"/>
              <w:kinsoku/>
              <w:wordWrap/>
              <w:overflowPunct/>
              <w:topLinePunct w:val="0"/>
              <w:autoSpaceDE/>
              <w:autoSpaceDN/>
              <w:bidi w:val="0"/>
              <w:adjustRightInd/>
              <w:snapToGrid/>
              <w:spacing w:line="340" w:lineRule="exact"/>
              <w:ind w:right="163" w:rightChars="0"/>
              <w:jc w:val="left"/>
              <w:textAlignment w:val="auto"/>
              <w:rPr>
                <w:rFonts w:ascii="楷体" w:hAnsi="楷体" w:eastAsia="楷体" w:cs="楷体"/>
                <w:snapToGrid w:val="0"/>
                <w:spacing w:val="0"/>
                <w:sz w:val="24"/>
                <w:szCs w:val="24"/>
                <w:lang w:eastAsia="zh-CN"/>
              </w:rPr>
            </w:pPr>
            <w:r>
              <w:rPr>
                <w:rFonts w:hint="eastAsia" w:ascii="楷体" w:hAnsi="楷体" w:eastAsia="楷体" w:cs="楷体"/>
                <w:sz w:val="24"/>
                <w:szCs w:val="24"/>
                <w:lang w:eastAsia="zh-CN"/>
              </w:rPr>
              <w:t>中小学教师“县管校聘”管理改革</w:t>
            </w:r>
          </w:p>
        </w:tc>
        <w:tc>
          <w:tcPr>
            <w:tcW w:w="6913" w:type="dxa"/>
            <w:tcBorders>
              <w:top w:val="single" w:color="000000" w:sz="4" w:space="0"/>
              <w:left w:val="single" w:color="000000" w:sz="4" w:space="0"/>
              <w:bottom w:val="single" w:color="000000" w:sz="4" w:space="0"/>
              <w:right w:val="single" w:color="000000" w:sz="4" w:space="0"/>
            </w:tcBorders>
          </w:tcPr>
          <w:p>
            <w:pPr>
              <w:pStyle w:val="35"/>
              <w:keepNext w:val="0"/>
              <w:keepLines w:val="0"/>
              <w:pageBreakBefore w:val="0"/>
              <w:widowControl w:val="0"/>
              <w:kinsoku/>
              <w:wordWrap/>
              <w:overflowPunct/>
              <w:topLinePunct w:val="0"/>
              <w:autoSpaceDE/>
              <w:autoSpaceDN/>
              <w:bidi w:val="0"/>
              <w:adjustRightInd/>
              <w:snapToGrid/>
              <w:spacing w:line="340" w:lineRule="exact"/>
              <w:ind w:right="-32" w:firstLine="480" w:firstLineChars="200"/>
              <w:textAlignment w:val="auto"/>
              <w:rPr>
                <w:rFonts w:ascii="楷体" w:hAnsi="楷体" w:eastAsia="楷体" w:cs="楷体"/>
                <w:snapToGrid w:val="0"/>
                <w:spacing w:val="0"/>
                <w:sz w:val="24"/>
                <w:szCs w:val="24"/>
                <w:lang w:eastAsia="zh-CN"/>
              </w:rPr>
            </w:pPr>
            <w:r>
              <w:rPr>
                <w:rFonts w:ascii="楷体" w:hAnsi="楷体" w:eastAsia="楷体" w:cs="楷体"/>
                <w:snapToGrid w:val="0"/>
                <w:spacing w:val="0"/>
                <w:sz w:val="24"/>
                <w:szCs w:val="24"/>
                <w:lang w:eastAsia="zh-CN"/>
              </w:rPr>
              <w:t>构建编制和人力资源保障部门核定编制和岗位总量</w:t>
            </w:r>
            <w:r>
              <w:rPr>
                <w:rFonts w:hint="eastAsia" w:ascii="楷体" w:hAnsi="楷体" w:eastAsia="楷体" w:cs="楷体"/>
                <w:snapToGrid w:val="0"/>
                <w:spacing w:val="0"/>
                <w:sz w:val="24"/>
                <w:szCs w:val="24"/>
                <w:lang w:eastAsia="zh-CN"/>
              </w:rPr>
              <w:t>、</w:t>
            </w:r>
            <w:r>
              <w:rPr>
                <w:rFonts w:ascii="楷体" w:hAnsi="楷体" w:eastAsia="楷体" w:cs="楷体"/>
                <w:snapToGrid w:val="0"/>
                <w:spacing w:val="0"/>
                <w:sz w:val="24"/>
                <w:szCs w:val="24"/>
                <w:lang w:eastAsia="zh-CN"/>
              </w:rPr>
              <w:t>教育部门统筹调配教师</w:t>
            </w:r>
            <w:r>
              <w:rPr>
                <w:rFonts w:hint="eastAsia" w:ascii="楷体" w:hAnsi="楷体" w:eastAsia="楷体" w:cs="楷体"/>
                <w:snapToGrid w:val="0"/>
                <w:spacing w:val="0"/>
                <w:sz w:val="24"/>
                <w:szCs w:val="24"/>
                <w:lang w:eastAsia="zh-CN"/>
              </w:rPr>
              <w:t>、</w:t>
            </w:r>
            <w:r>
              <w:rPr>
                <w:rFonts w:ascii="楷体" w:hAnsi="楷体" w:eastAsia="楷体" w:cs="楷体"/>
                <w:snapToGrid w:val="0"/>
                <w:spacing w:val="0"/>
                <w:sz w:val="24"/>
                <w:szCs w:val="24"/>
                <w:lang w:eastAsia="zh-CN"/>
              </w:rPr>
              <w:t>学校负责教师聘用的体制机制。逐步推行教育部门聘任校长、校长提议选聘班子成员、学校聘用教师的管理制度。</w:t>
            </w:r>
          </w:p>
        </w:tc>
      </w:tr>
      <w:tr>
        <w:tblPrEx>
          <w:tblCellMar>
            <w:top w:w="0" w:type="dxa"/>
            <w:left w:w="0" w:type="dxa"/>
            <w:bottom w:w="0" w:type="dxa"/>
            <w:right w:w="0" w:type="dxa"/>
          </w:tblCellMar>
        </w:tblPrEx>
        <w:trPr>
          <w:trHeight w:val="2135" w:hRule="exact"/>
        </w:trPr>
        <w:tc>
          <w:tcPr>
            <w:tcW w:w="1734" w:type="dxa"/>
            <w:tcBorders>
              <w:top w:val="single" w:color="000000" w:sz="4" w:space="0"/>
              <w:left w:val="single" w:color="000000" w:sz="4" w:space="0"/>
              <w:bottom w:val="single" w:color="auto" w:sz="4" w:space="0"/>
              <w:right w:val="single" w:color="000000" w:sz="4" w:space="0"/>
            </w:tcBorders>
          </w:tcPr>
          <w:p>
            <w:pPr>
              <w:pStyle w:val="35"/>
              <w:keepNext w:val="0"/>
              <w:keepLines w:val="0"/>
              <w:pageBreakBefore w:val="0"/>
              <w:widowControl w:val="0"/>
              <w:kinsoku/>
              <w:wordWrap/>
              <w:overflowPunct/>
              <w:topLinePunct w:val="0"/>
              <w:autoSpaceDE/>
              <w:autoSpaceDN/>
              <w:bidi w:val="0"/>
              <w:adjustRightInd/>
              <w:snapToGrid/>
              <w:spacing w:line="340" w:lineRule="exact"/>
              <w:ind w:left="102" w:right="-32" w:firstLine="561"/>
              <w:jc w:val="left"/>
              <w:textAlignment w:val="auto"/>
              <w:rPr>
                <w:rFonts w:ascii="楷体" w:hAnsi="楷体" w:eastAsia="楷体" w:cs="楷体"/>
                <w:snapToGrid w:val="0"/>
                <w:spacing w:val="0"/>
                <w:sz w:val="24"/>
                <w:szCs w:val="24"/>
                <w:lang w:eastAsia="zh-CN"/>
              </w:rPr>
            </w:pPr>
          </w:p>
          <w:p>
            <w:pPr>
              <w:pStyle w:val="35"/>
              <w:keepNext w:val="0"/>
              <w:keepLines w:val="0"/>
              <w:pageBreakBefore w:val="0"/>
              <w:widowControl w:val="0"/>
              <w:kinsoku/>
              <w:wordWrap/>
              <w:overflowPunct/>
              <w:topLinePunct w:val="0"/>
              <w:autoSpaceDE/>
              <w:autoSpaceDN/>
              <w:bidi w:val="0"/>
              <w:adjustRightInd/>
              <w:snapToGrid/>
              <w:spacing w:line="340" w:lineRule="exact"/>
              <w:ind w:right="-32"/>
              <w:jc w:val="left"/>
              <w:textAlignment w:val="auto"/>
              <w:rPr>
                <w:rFonts w:ascii="楷体" w:hAnsi="楷体" w:eastAsia="楷体" w:cs="楷体"/>
                <w:snapToGrid w:val="0"/>
                <w:spacing w:val="0"/>
                <w:sz w:val="24"/>
                <w:szCs w:val="24"/>
                <w:lang w:eastAsia="zh-CN"/>
              </w:rPr>
            </w:pPr>
            <w:r>
              <w:rPr>
                <w:rFonts w:ascii="楷体" w:hAnsi="楷体" w:eastAsia="楷体" w:cs="楷体"/>
                <w:snapToGrid w:val="0"/>
                <w:spacing w:val="0"/>
                <w:sz w:val="24"/>
                <w:szCs w:val="24"/>
                <w:lang w:eastAsia="zh-CN"/>
              </w:rPr>
              <w:t>民办教育规范发展与质量提升计划</w:t>
            </w:r>
          </w:p>
        </w:tc>
        <w:tc>
          <w:tcPr>
            <w:tcW w:w="6913" w:type="dxa"/>
            <w:tcBorders>
              <w:top w:val="single" w:color="000000" w:sz="4" w:space="0"/>
              <w:left w:val="single" w:color="000000" w:sz="4" w:space="0"/>
              <w:bottom w:val="single" w:color="auto" w:sz="4" w:space="0"/>
              <w:right w:val="single" w:color="000000" w:sz="4" w:space="0"/>
            </w:tcBorders>
          </w:tcPr>
          <w:p>
            <w:pPr>
              <w:pStyle w:val="35"/>
              <w:keepNext w:val="0"/>
              <w:keepLines w:val="0"/>
              <w:pageBreakBefore w:val="0"/>
              <w:widowControl w:val="0"/>
              <w:kinsoku/>
              <w:wordWrap/>
              <w:overflowPunct/>
              <w:topLinePunct w:val="0"/>
              <w:autoSpaceDE/>
              <w:autoSpaceDN/>
              <w:bidi w:val="0"/>
              <w:adjustRightInd/>
              <w:snapToGrid/>
              <w:spacing w:line="340" w:lineRule="exact"/>
              <w:ind w:left="102" w:right="-32" w:firstLine="480" w:firstLineChars="200"/>
              <w:textAlignment w:val="auto"/>
              <w:rPr>
                <w:rFonts w:ascii="楷体" w:hAnsi="楷体" w:eastAsia="楷体" w:cs="楷体"/>
                <w:snapToGrid w:val="0"/>
                <w:spacing w:val="0"/>
                <w:sz w:val="24"/>
                <w:szCs w:val="24"/>
                <w:lang w:eastAsia="zh-CN"/>
              </w:rPr>
            </w:pPr>
            <w:r>
              <w:rPr>
                <w:rFonts w:ascii="楷体" w:hAnsi="楷体" w:eastAsia="楷体" w:cs="楷体"/>
                <w:snapToGrid w:val="0"/>
                <w:spacing w:val="0"/>
                <w:sz w:val="24"/>
                <w:szCs w:val="24"/>
                <w:lang w:eastAsia="zh-CN"/>
              </w:rPr>
              <w:t>按照“义务教育是国家事权和国家职责”总要求，围绕“控制增量、优化存量、提升质量、稳字当头、稳中求进”总目标，深入调研，坚持导向，开展规范民办义务教育专项工作，</w:t>
            </w:r>
            <w:r>
              <w:rPr>
                <w:rFonts w:ascii="楷体" w:hAnsi="楷体" w:eastAsia="楷体" w:cs="楷体"/>
                <w:snapToGrid w:val="0"/>
                <w:color w:val="auto"/>
                <w:spacing w:val="0"/>
                <w:sz w:val="24"/>
                <w:szCs w:val="24"/>
                <w:lang w:eastAsia="zh-CN"/>
              </w:rPr>
              <w:t>力争2022年</w:t>
            </w:r>
            <w:r>
              <w:rPr>
                <w:rFonts w:hint="eastAsia" w:ascii="楷体" w:hAnsi="楷体" w:eastAsia="楷体" w:cs="楷体"/>
                <w:snapToGrid w:val="0"/>
                <w:color w:val="auto"/>
                <w:spacing w:val="0"/>
                <w:sz w:val="24"/>
                <w:szCs w:val="24"/>
                <w:lang w:val="en-US" w:eastAsia="zh-CN"/>
              </w:rPr>
              <w:t>9月</w:t>
            </w:r>
            <w:r>
              <w:rPr>
                <w:rFonts w:hint="default" w:ascii="楷体" w:hAnsi="楷体" w:eastAsia="楷体" w:cs="楷体"/>
                <w:snapToGrid w:val="0"/>
                <w:color w:val="auto"/>
                <w:spacing w:val="0"/>
                <w:sz w:val="24"/>
                <w:szCs w:val="24"/>
                <w:lang w:eastAsia="zh-CN"/>
              </w:rPr>
              <w:t>1日</w:t>
            </w:r>
            <w:r>
              <w:rPr>
                <w:rFonts w:ascii="楷体" w:hAnsi="楷体" w:eastAsia="楷体" w:cs="楷体"/>
                <w:snapToGrid w:val="0"/>
                <w:color w:val="auto"/>
                <w:spacing w:val="0"/>
                <w:sz w:val="24"/>
                <w:szCs w:val="24"/>
                <w:lang w:eastAsia="zh-CN"/>
              </w:rPr>
              <w:t>前，将民办义务教育在校生规模占比</w:t>
            </w:r>
            <w:r>
              <w:rPr>
                <w:rFonts w:hint="eastAsia" w:ascii="楷体" w:hAnsi="楷体" w:eastAsia="楷体" w:cs="楷体"/>
                <w:snapToGrid w:val="0"/>
                <w:color w:val="auto"/>
                <w:spacing w:val="0"/>
                <w:sz w:val="24"/>
                <w:szCs w:val="24"/>
                <w:lang w:eastAsia="zh-CN"/>
              </w:rPr>
              <w:t>市</w:t>
            </w:r>
            <w:r>
              <w:rPr>
                <w:rFonts w:ascii="楷体" w:hAnsi="楷体" w:eastAsia="楷体" w:cs="楷体"/>
                <w:snapToGrid w:val="0"/>
                <w:color w:val="auto"/>
                <w:spacing w:val="0"/>
                <w:sz w:val="24"/>
                <w:szCs w:val="24"/>
                <w:lang w:eastAsia="zh-CN"/>
              </w:rPr>
              <w:t>域内控制在</w:t>
            </w:r>
            <w:r>
              <w:rPr>
                <w:rFonts w:hint="eastAsia" w:ascii="楷体" w:hAnsi="楷体" w:eastAsia="楷体" w:cs="楷体"/>
                <w:snapToGrid w:val="0"/>
                <w:color w:val="auto"/>
                <w:spacing w:val="0"/>
                <w:sz w:val="24"/>
                <w:szCs w:val="24"/>
                <w:lang w:eastAsia="zh-CN"/>
              </w:rPr>
              <w:t>5</w:t>
            </w:r>
            <w:r>
              <w:rPr>
                <w:rFonts w:ascii="楷体" w:hAnsi="楷体" w:eastAsia="楷体" w:cs="楷体"/>
                <w:snapToGrid w:val="0"/>
                <w:color w:val="auto"/>
                <w:spacing w:val="0"/>
                <w:sz w:val="24"/>
                <w:szCs w:val="24"/>
                <w:lang w:eastAsia="zh-CN"/>
              </w:rPr>
              <w:t>%以内。全面规范民办义务教育学校办学行为，全面加强学校党的建设，全面提升义务教育水平。</w:t>
            </w:r>
          </w:p>
        </w:tc>
      </w:tr>
    </w:tbl>
    <w:p>
      <w:pPr>
        <w:pStyle w:val="4"/>
        <w:pageBreakBefore w:val="0"/>
        <w:kinsoku/>
        <w:wordWrap/>
        <w:overflowPunct/>
        <w:topLinePunct w:val="0"/>
        <w:autoSpaceDE/>
        <w:autoSpaceDN/>
        <w:bidi w:val="0"/>
        <w:adjustRightInd/>
        <w:spacing w:line="520" w:lineRule="exact"/>
        <w:ind w:firstLine="642" w:firstLineChars="200"/>
        <w:textAlignment w:val="auto"/>
        <w:rPr>
          <w:snapToGrid w:val="0"/>
          <w:color w:val="auto"/>
          <w:spacing w:val="0"/>
          <w:szCs w:val="32"/>
        </w:rPr>
      </w:pPr>
      <w:bookmarkStart w:id="104" w:name="_Toc11725"/>
      <w:bookmarkStart w:id="105" w:name="_Toc31306"/>
      <w:bookmarkStart w:id="106" w:name="_Toc6174"/>
      <w:r>
        <w:rPr>
          <w:rFonts w:hint="eastAsia"/>
          <w:snapToGrid w:val="0"/>
          <w:color w:val="auto"/>
          <w:spacing w:val="0"/>
          <w:szCs w:val="32"/>
        </w:rPr>
        <w:t>八、调整优化学校布局结构</w:t>
      </w:r>
      <w:bookmarkEnd w:id="104"/>
      <w:bookmarkEnd w:id="105"/>
      <w:bookmarkEnd w:id="106"/>
    </w:p>
    <w:p>
      <w:pPr>
        <w:pageBreakBefore w:val="0"/>
        <w:kinsoku/>
        <w:wordWrap/>
        <w:overflowPunct/>
        <w:topLinePunct w:val="0"/>
        <w:autoSpaceDE/>
        <w:autoSpaceDN/>
        <w:bidi w:val="0"/>
        <w:adjustRightInd/>
        <w:spacing w:line="520" w:lineRule="exact"/>
        <w:ind w:firstLine="560" w:firstLineChars="200"/>
        <w:jc w:val="left"/>
        <w:textAlignment w:val="auto"/>
        <w:rPr>
          <w:rFonts w:ascii="仿宋_GB2312" w:hAnsi="仿宋_GB2312" w:eastAsia="仿宋_GB2312" w:cs="仿宋_GB2312"/>
          <w:bCs/>
          <w:snapToGrid w:val="0"/>
          <w:color w:val="auto"/>
          <w:spacing w:val="0"/>
          <w:sz w:val="28"/>
          <w:szCs w:val="28"/>
        </w:rPr>
      </w:pPr>
      <w:r>
        <w:rPr>
          <w:rFonts w:hint="eastAsia" w:ascii="仿宋_GB2312" w:hAnsi="仿宋_GB2312" w:eastAsia="仿宋_GB2312" w:cs="仿宋_GB2312"/>
          <w:bCs/>
          <w:snapToGrid w:val="0"/>
          <w:color w:val="auto"/>
          <w:spacing w:val="0"/>
          <w:sz w:val="28"/>
          <w:szCs w:val="28"/>
        </w:rPr>
        <w:t>优化教育资源配置，完善与常住人口相匹配的城乡中小学校幼儿园建设机制，优化与区域经济发展、产业结构相适应的中等职业学校布局结构。聚焦服务驻马店重大发展战略，构建与区域经济社会发展需求相协调的学校布局结构。</w:t>
      </w:r>
    </w:p>
    <w:p>
      <w:pPr>
        <w:pageBreakBefore w:val="0"/>
        <w:kinsoku/>
        <w:wordWrap/>
        <w:overflowPunct/>
        <w:topLinePunct w:val="0"/>
        <w:autoSpaceDE/>
        <w:autoSpaceDN/>
        <w:bidi w:val="0"/>
        <w:adjustRightInd/>
        <w:spacing w:line="520" w:lineRule="exact"/>
        <w:ind w:firstLine="560" w:firstLineChars="200"/>
        <w:textAlignment w:val="auto"/>
        <w:rPr>
          <w:rFonts w:ascii="仿宋_GB2312" w:hAnsi="仿宋_GB2312" w:eastAsia="仿宋_GB2312" w:cs="仿宋_GB2312"/>
          <w:bCs/>
          <w:snapToGrid w:val="0"/>
          <w:color w:val="auto"/>
          <w:spacing w:val="0"/>
          <w:sz w:val="28"/>
          <w:szCs w:val="28"/>
        </w:rPr>
      </w:pPr>
      <w:r>
        <w:rPr>
          <w:rFonts w:hint="eastAsia" w:ascii="仿宋_GB2312" w:hAnsi="仿宋_GB2312" w:eastAsia="仿宋_GB2312" w:cs="仿宋_GB2312"/>
          <w:snapToGrid w:val="0"/>
          <w:color w:val="auto"/>
          <w:spacing w:val="0"/>
          <w:sz w:val="28"/>
          <w:szCs w:val="28"/>
        </w:rPr>
        <w:t>加快普惠性幼儿园建设步伐。</w:t>
      </w:r>
      <w:r>
        <w:rPr>
          <w:rFonts w:ascii="仿宋_GB2312" w:hAnsi="仿宋_GB2312" w:eastAsia="仿宋_GB2312" w:cs="仿宋_GB2312"/>
          <w:snapToGrid w:val="0"/>
          <w:color w:val="auto"/>
          <w:spacing w:val="0"/>
          <w:sz w:val="28"/>
          <w:szCs w:val="28"/>
        </w:rPr>
        <w:t>大力发展公办幼儿园。县区政府要担负起本区域学前教育发展的主体责任，把公办</w:t>
      </w:r>
      <w:r>
        <w:rPr>
          <w:rFonts w:hint="eastAsia" w:ascii="仿宋_GB2312" w:hAnsi="仿宋_GB2312" w:eastAsia="仿宋_GB2312" w:cs="仿宋_GB2312"/>
          <w:snapToGrid w:val="0"/>
          <w:color w:val="auto"/>
          <w:spacing w:val="0"/>
          <w:sz w:val="28"/>
          <w:szCs w:val="28"/>
        </w:rPr>
        <w:t>幼儿</w:t>
      </w:r>
      <w:r>
        <w:rPr>
          <w:rFonts w:ascii="仿宋_GB2312" w:hAnsi="仿宋_GB2312" w:eastAsia="仿宋_GB2312" w:cs="仿宋_GB2312"/>
          <w:snapToGrid w:val="0"/>
          <w:color w:val="auto"/>
          <w:spacing w:val="0"/>
          <w:sz w:val="28"/>
          <w:szCs w:val="28"/>
        </w:rPr>
        <w:t>园、普惠性幼儿园建设纳入城乡公共管理和公共服务设施统一规划。</w:t>
      </w:r>
      <w:r>
        <w:rPr>
          <w:rFonts w:hint="eastAsia" w:ascii="仿宋_GB2312" w:hAnsi="仿宋_GB2312" w:eastAsia="仿宋_GB2312" w:cs="仿宋_GB2312"/>
          <w:snapToGrid w:val="0"/>
          <w:color w:val="auto"/>
          <w:spacing w:val="0"/>
          <w:sz w:val="28"/>
          <w:szCs w:val="28"/>
        </w:rPr>
        <w:t>大力发展农村学前教育，每个乡镇至少办好1—2所公办中心幼儿园。</w:t>
      </w:r>
      <w:r>
        <w:rPr>
          <w:rFonts w:hint="eastAsia" w:ascii="仿宋_GB2312" w:hAnsi="仿宋_GB2312" w:eastAsia="仿宋_GB2312" w:cs="仿宋_GB2312"/>
          <w:bCs/>
          <w:snapToGrid w:val="0"/>
          <w:color w:val="auto"/>
          <w:spacing w:val="0"/>
          <w:sz w:val="28"/>
          <w:szCs w:val="28"/>
        </w:rPr>
        <w:t>严格落实城镇小区配套幼儿园建设管理办法，老旧城区、棚户区改造和新城区、城镇小区建设</w:t>
      </w:r>
      <w:r>
        <w:rPr>
          <w:rFonts w:ascii="仿宋_GB2312" w:hAnsi="仿宋_GB2312" w:eastAsia="仿宋_GB2312" w:cs="仿宋_GB2312"/>
          <w:snapToGrid w:val="0"/>
          <w:color w:val="auto"/>
          <w:spacing w:val="0"/>
          <w:sz w:val="28"/>
          <w:szCs w:val="28"/>
        </w:rPr>
        <w:t>必须将配套幼儿园纳入公共管理和公共服务设施建设规划，按照相关标准规范建设</w:t>
      </w:r>
      <w:r>
        <w:rPr>
          <w:rFonts w:hint="eastAsia" w:ascii="仿宋_GB2312" w:hAnsi="仿宋_GB2312" w:eastAsia="仿宋_GB2312" w:cs="仿宋_GB2312"/>
          <w:bCs/>
          <w:snapToGrid w:val="0"/>
          <w:color w:val="auto"/>
          <w:spacing w:val="0"/>
          <w:sz w:val="28"/>
          <w:szCs w:val="28"/>
        </w:rPr>
        <w:t>。</w:t>
      </w:r>
      <w:r>
        <w:rPr>
          <w:rFonts w:hint="eastAsia" w:ascii="仿宋_GB2312" w:hAnsi="仿宋_GB2312" w:eastAsia="仿宋_GB2312" w:cs="仿宋_GB2312"/>
          <w:snapToGrid w:val="0"/>
          <w:color w:val="auto"/>
          <w:spacing w:val="0"/>
          <w:sz w:val="28"/>
          <w:szCs w:val="28"/>
        </w:rPr>
        <w:t>加大整治力度，</w:t>
      </w:r>
      <w:r>
        <w:rPr>
          <w:rFonts w:ascii="仿宋_GB2312" w:hAnsi="仿宋_GB2312" w:eastAsia="仿宋_GB2312" w:cs="仿宋_GB2312"/>
          <w:snapToGrid w:val="0"/>
          <w:color w:val="auto"/>
          <w:spacing w:val="0"/>
          <w:sz w:val="28"/>
          <w:szCs w:val="28"/>
        </w:rPr>
        <w:t>对存在配套幼儿园缓建、缩建、停建、不建和建而不交等问题的</w:t>
      </w:r>
      <w:r>
        <w:rPr>
          <w:rFonts w:hint="eastAsia" w:ascii="仿宋_GB2312" w:hAnsi="仿宋_GB2312" w:eastAsia="仿宋_GB2312" w:cs="仿宋_GB2312"/>
          <w:snapToGrid w:val="0"/>
          <w:color w:val="auto"/>
          <w:spacing w:val="0"/>
          <w:sz w:val="28"/>
          <w:szCs w:val="28"/>
        </w:rPr>
        <w:t>小区</w:t>
      </w:r>
      <w:r>
        <w:rPr>
          <w:rFonts w:ascii="仿宋_GB2312" w:hAnsi="仿宋_GB2312" w:eastAsia="仿宋_GB2312" w:cs="仿宋_GB2312"/>
          <w:snapToGrid w:val="0"/>
          <w:color w:val="auto"/>
          <w:spacing w:val="0"/>
          <w:sz w:val="28"/>
          <w:szCs w:val="28"/>
        </w:rPr>
        <w:t>，整改到位之前，不得办理竣工验收。</w:t>
      </w:r>
    </w:p>
    <w:p>
      <w:pPr>
        <w:pageBreakBefore w:val="0"/>
        <w:widowControl/>
        <w:kinsoku/>
        <w:wordWrap/>
        <w:overflowPunct/>
        <w:topLinePunct w:val="0"/>
        <w:autoSpaceDE/>
        <w:autoSpaceDN/>
        <w:bidi w:val="0"/>
        <w:adjustRightInd/>
        <w:snapToGrid w:val="0"/>
        <w:spacing w:line="520" w:lineRule="exact"/>
        <w:ind w:firstLine="560" w:firstLineChars="200"/>
        <w:textAlignment w:val="auto"/>
        <w:rPr>
          <w:rFonts w:ascii="仿宋_GB2312" w:hAnsi="仿宋_GB2312" w:eastAsia="仿宋_GB2312" w:cs="仿宋_GB2312"/>
          <w:bCs/>
          <w:snapToGrid w:val="0"/>
          <w:color w:val="auto"/>
          <w:spacing w:val="0"/>
          <w:sz w:val="28"/>
          <w:szCs w:val="28"/>
        </w:rPr>
      </w:pPr>
      <w:r>
        <w:rPr>
          <w:rFonts w:hint="eastAsia" w:ascii="仿宋_GB2312" w:hAnsi="仿宋_GB2312" w:eastAsia="仿宋_GB2312" w:cs="仿宋_GB2312"/>
          <w:bCs/>
          <w:snapToGrid w:val="0"/>
          <w:color w:val="auto"/>
          <w:spacing w:val="0"/>
          <w:sz w:val="28"/>
          <w:szCs w:val="28"/>
        </w:rPr>
        <w:t>科学制定中小学布局规划。</w:t>
      </w:r>
      <w:r>
        <w:rPr>
          <w:rFonts w:hint="eastAsia" w:ascii="仿宋_GB2312" w:hAnsi="仿宋_GB2312" w:eastAsia="仿宋_GB2312" w:cs="仿宋_GB2312"/>
          <w:bCs/>
          <w:snapToGrid w:val="0"/>
          <w:color w:val="auto"/>
          <w:spacing w:val="0"/>
          <w:sz w:val="28"/>
          <w:szCs w:val="28"/>
          <w:lang w:eastAsia="zh-CN"/>
        </w:rPr>
        <w:t>坚持“统筹规划、一县一策”和“中学向县城集聚、小学向乡镇政府所在地集中”的原则，</w:t>
      </w:r>
      <w:r>
        <w:rPr>
          <w:rFonts w:hint="eastAsia" w:ascii="仿宋_GB2312" w:hAnsi="仿宋_GB2312" w:eastAsia="仿宋_GB2312" w:cs="仿宋_GB2312"/>
          <w:bCs/>
          <w:snapToGrid w:val="0"/>
          <w:color w:val="auto"/>
          <w:spacing w:val="0"/>
          <w:sz w:val="28"/>
          <w:szCs w:val="28"/>
        </w:rPr>
        <w:t>综合考虑居住人口容量、现有教育资源和城镇化进程以及人口流动、学龄人口变化、地理环境、交通状况、学生家庭经济负担等因素，合理布局县域内幼儿园、教学点、小学、初中、普通高中。</w:t>
      </w:r>
      <w:r>
        <w:rPr>
          <w:rFonts w:hint="eastAsia" w:ascii="仿宋_GB2312" w:hAnsi="仿宋_GB2312" w:eastAsia="仿宋_GB2312" w:cs="仿宋_GB2312"/>
          <w:bCs/>
          <w:snapToGrid w:val="0"/>
          <w:color w:val="auto"/>
          <w:spacing w:val="0"/>
          <w:sz w:val="28"/>
          <w:szCs w:val="28"/>
          <w:lang w:eastAsia="zh-CN"/>
        </w:rPr>
        <w:t>在布局调整中应加大推进寄宿制学校建设，原则上农村初中应建成寄宿制学校，每个乡镇根据区域人口可建</w:t>
      </w:r>
      <w:r>
        <w:rPr>
          <w:rFonts w:hint="eastAsia" w:ascii="仿宋_GB2312" w:hAnsi="仿宋_GB2312" w:eastAsia="仿宋_GB2312" w:cs="仿宋_GB2312"/>
          <w:bCs/>
          <w:snapToGrid w:val="0"/>
          <w:color w:val="auto"/>
          <w:spacing w:val="0"/>
          <w:sz w:val="28"/>
          <w:szCs w:val="28"/>
          <w:lang w:val="en-US" w:eastAsia="zh-CN"/>
        </w:rPr>
        <w:t>1-3所寄宿制小学。</w:t>
      </w:r>
      <w:r>
        <w:rPr>
          <w:rFonts w:hint="eastAsia" w:ascii="仿宋_GB2312" w:hAnsi="仿宋_GB2312" w:eastAsia="仿宋_GB2312" w:cs="仿宋_GB2312"/>
          <w:bCs/>
          <w:snapToGrid w:val="0"/>
          <w:color w:val="auto"/>
          <w:spacing w:val="0"/>
          <w:sz w:val="28"/>
          <w:szCs w:val="28"/>
        </w:rPr>
        <w:t>贯彻落实《驻马店市中小学</w:t>
      </w:r>
      <w:r>
        <w:rPr>
          <w:rFonts w:hint="eastAsia" w:ascii="仿宋_GB2312" w:hAnsi="仿宋_GB2312" w:eastAsia="仿宋_GB2312" w:cs="仿宋_GB2312"/>
          <w:bCs/>
          <w:snapToGrid w:val="0"/>
          <w:color w:val="auto"/>
          <w:spacing w:val="0"/>
          <w:sz w:val="28"/>
          <w:szCs w:val="28"/>
          <w:lang w:eastAsia="zh-CN"/>
        </w:rPr>
        <w:t>校幼儿园</w:t>
      </w:r>
      <w:r>
        <w:rPr>
          <w:rFonts w:hint="eastAsia" w:ascii="仿宋_GB2312" w:hAnsi="仿宋_GB2312" w:eastAsia="仿宋_GB2312" w:cs="仿宋_GB2312"/>
          <w:bCs/>
          <w:snapToGrid w:val="0"/>
          <w:color w:val="auto"/>
          <w:spacing w:val="0"/>
          <w:sz w:val="28"/>
          <w:szCs w:val="28"/>
        </w:rPr>
        <w:t>规划建设条例》，确保规划具有法律性。</w:t>
      </w:r>
      <w:r>
        <w:rPr>
          <w:rFonts w:hint="eastAsia" w:ascii="仿宋_GB2312" w:hAnsi="仿宋_GB2312" w:eastAsia="仿宋_GB2312" w:cs="仿宋_GB2312"/>
          <w:bCs/>
          <w:snapToGrid w:val="0"/>
          <w:color w:val="auto"/>
          <w:spacing w:val="0"/>
          <w:sz w:val="28"/>
          <w:szCs w:val="28"/>
          <w:lang w:eastAsia="zh-CN"/>
        </w:rPr>
        <w:t>各县区</w:t>
      </w:r>
      <w:r>
        <w:rPr>
          <w:rFonts w:hint="eastAsia" w:ascii="仿宋_GB2312" w:hAnsi="仿宋_GB2312" w:eastAsia="仿宋_GB2312" w:cs="仿宋_GB2312"/>
          <w:bCs/>
          <w:snapToGrid w:val="0"/>
          <w:color w:val="auto"/>
          <w:spacing w:val="0"/>
          <w:sz w:val="28"/>
          <w:szCs w:val="28"/>
        </w:rPr>
        <w:t>政府在新城区规划建设和推进旧城区改造过程中必须落实中小学专项规划，保障学校的建设用地，做到城市建设与学校建设同步规划、同步实施、同步使用，确保教育用地不被侵占</w:t>
      </w:r>
      <w:r>
        <w:rPr>
          <w:rFonts w:hint="eastAsia" w:ascii="仿宋_GB2312" w:hAnsi="仿宋_GB2312" w:eastAsia="仿宋_GB2312" w:cs="仿宋_GB2312"/>
          <w:bCs/>
          <w:snapToGrid w:val="0"/>
          <w:color w:val="auto"/>
          <w:spacing w:val="0"/>
          <w:sz w:val="28"/>
          <w:szCs w:val="28"/>
          <w:lang w:eastAsia="zh-CN"/>
        </w:rPr>
        <w:t>或调整用地性质</w:t>
      </w:r>
      <w:r>
        <w:rPr>
          <w:rFonts w:hint="eastAsia" w:ascii="仿宋_GB2312" w:hAnsi="仿宋_GB2312" w:eastAsia="仿宋_GB2312" w:cs="仿宋_GB2312"/>
          <w:bCs/>
          <w:snapToGrid w:val="0"/>
          <w:color w:val="auto"/>
          <w:spacing w:val="0"/>
          <w:sz w:val="28"/>
          <w:szCs w:val="28"/>
        </w:rPr>
        <w:t>用于开发。把中小学校建设纳入“县区长工程”，将每年学校建设任务作为县区必须完成的民生工程。</w:t>
      </w:r>
      <w:r>
        <w:rPr>
          <w:rFonts w:hint="eastAsia" w:ascii="仿宋_GB2312" w:hAnsi="仿宋_GB2312" w:eastAsia="仿宋_GB2312" w:cs="仿宋_GB2312"/>
          <w:bCs/>
          <w:snapToGrid w:val="0"/>
          <w:color w:val="auto"/>
          <w:spacing w:val="0"/>
          <w:sz w:val="28"/>
          <w:szCs w:val="28"/>
          <w:lang w:eastAsia="zh-CN"/>
        </w:rPr>
        <w:t>县区政府多元筹资，加快推进中小学校建设</w:t>
      </w:r>
      <w:r>
        <w:rPr>
          <w:rFonts w:hint="eastAsia" w:ascii="仿宋_GB2312" w:hAnsi="仿宋_GB2312" w:eastAsia="仿宋_GB2312" w:cs="仿宋_GB2312"/>
          <w:bCs/>
          <w:snapToGrid w:val="0"/>
          <w:color w:val="auto"/>
          <w:spacing w:val="0"/>
          <w:sz w:val="28"/>
          <w:szCs w:val="28"/>
        </w:rPr>
        <w:t>。由教育部门牵头，制定《驻马店市城镇住宅小区规划建设及捐建义务教育学校管理办法》，按照“谁开发建设、谁完善配套”的原则，配套学校与住宅小区首期开发同步设计、同步施工、同步验收、同步交付使用。加大乡村学校布局调整力度，学校主要向乡镇政府所在地，交通便利、人口密集的中心村集中；在人口稀少、地处偏远、交通不便的地方保留或设置村小学和教学点；坚决制止盲目撤并学校行为，坚持先安置后撤并、先建设后撤并的原则，保证平稳过渡。</w:t>
      </w:r>
    </w:p>
    <w:p>
      <w:pPr>
        <w:pageBreakBefore w:val="0"/>
        <w:widowControl/>
        <w:kinsoku/>
        <w:wordWrap/>
        <w:overflowPunct/>
        <w:topLinePunct w:val="0"/>
        <w:autoSpaceDE/>
        <w:autoSpaceDN/>
        <w:bidi w:val="0"/>
        <w:adjustRightInd/>
        <w:snapToGrid w:val="0"/>
        <w:spacing w:line="520" w:lineRule="exact"/>
        <w:ind w:firstLine="560" w:firstLineChars="200"/>
        <w:textAlignment w:val="auto"/>
      </w:pPr>
      <w:r>
        <w:rPr>
          <w:rFonts w:hint="eastAsia" w:ascii="仿宋_GB2312" w:hAnsi="仿宋_GB2312" w:eastAsia="仿宋_GB2312" w:cs="仿宋_GB2312"/>
          <w:bCs/>
          <w:snapToGrid w:val="0"/>
          <w:spacing w:val="0"/>
          <w:sz w:val="28"/>
          <w:szCs w:val="28"/>
        </w:rPr>
        <w:t>加强县域普通高中规划建设，按照国家校舍建设和装备配备标准，</w:t>
      </w:r>
      <w:r>
        <w:rPr>
          <w:rFonts w:hint="eastAsia" w:ascii="仿宋_GB2312" w:hAnsi="仿宋_GB2312" w:eastAsia="仿宋_GB2312" w:cs="仿宋_GB2312"/>
          <w:bCs/>
          <w:snapToGrid w:val="0"/>
          <w:spacing w:val="0"/>
          <w:sz w:val="28"/>
          <w:szCs w:val="28"/>
          <w:lang w:val="en-US" w:eastAsia="zh-CN"/>
        </w:rPr>
        <w:t>6</w:t>
      </w:r>
      <w:r>
        <w:rPr>
          <w:rFonts w:hint="eastAsia" w:ascii="仿宋_GB2312" w:hAnsi="仿宋_GB2312" w:eastAsia="仿宋_GB2312" w:cs="仿宋_GB2312"/>
          <w:bCs/>
          <w:snapToGrid w:val="0"/>
          <w:spacing w:val="0"/>
          <w:sz w:val="28"/>
          <w:szCs w:val="28"/>
        </w:rPr>
        <w:t>0万人口以下的县新建</w:t>
      </w:r>
      <w:r>
        <w:rPr>
          <w:rFonts w:hint="eastAsia" w:ascii="仿宋_GB2312" w:hAnsi="仿宋_GB2312" w:eastAsia="仿宋_GB2312" w:cs="仿宋_GB2312"/>
          <w:bCs/>
          <w:snapToGrid w:val="0"/>
          <w:spacing w:val="0"/>
          <w:sz w:val="28"/>
          <w:szCs w:val="28"/>
          <w:lang w:eastAsia="zh-CN"/>
        </w:rPr>
        <w:t>不少于</w:t>
      </w:r>
      <w:r>
        <w:rPr>
          <w:rFonts w:hint="eastAsia" w:ascii="仿宋_GB2312" w:hAnsi="仿宋_GB2312" w:eastAsia="仿宋_GB2312" w:cs="仿宋_GB2312"/>
          <w:bCs/>
          <w:snapToGrid w:val="0"/>
          <w:spacing w:val="0"/>
          <w:sz w:val="28"/>
          <w:szCs w:val="28"/>
        </w:rPr>
        <w:t>1所标准化普通高中，</w:t>
      </w:r>
      <w:r>
        <w:rPr>
          <w:rFonts w:hint="eastAsia" w:ascii="仿宋_GB2312" w:hAnsi="仿宋_GB2312" w:eastAsia="仿宋_GB2312" w:cs="仿宋_GB2312"/>
          <w:bCs/>
          <w:snapToGrid w:val="0"/>
          <w:spacing w:val="0"/>
          <w:sz w:val="28"/>
          <w:szCs w:val="28"/>
          <w:lang w:val="en-US" w:eastAsia="zh-CN"/>
        </w:rPr>
        <w:t>6</w:t>
      </w:r>
      <w:r>
        <w:rPr>
          <w:rFonts w:hint="eastAsia" w:ascii="仿宋_GB2312" w:hAnsi="仿宋_GB2312" w:eastAsia="仿宋_GB2312" w:cs="仿宋_GB2312"/>
          <w:bCs/>
          <w:snapToGrid w:val="0"/>
          <w:spacing w:val="0"/>
          <w:sz w:val="28"/>
          <w:szCs w:val="28"/>
        </w:rPr>
        <w:t>0万人口以上的县新建</w:t>
      </w:r>
      <w:r>
        <w:rPr>
          <w:rFonts w:hint="eastAsia" w:ascii="仿宋_GB2312" w:hAnsi="仿宋_GB2312" w:eastAsia="仿宋_GB2312" w:cs="仿宋_GB2312"/>
          <w:bCs/>
          <w:snapToGrid w:val="0"/>
          <w:spacing w:val="0"/>
          <w:sz w:val="28"/>
          <w:szCs w:val="28"/>
          <w:lang w:eastAsia="zh-CN"/>
        </w:rPr>
        <w:t>不少于</w:t>
      </w:r>
      <w:r>
        <w:rPr>
          <w:rFonts w:hint="eastAsia" w:ascii="仿宋_GB2312" w:hAnsi="仿宋_GB2312" w:eastAsia="仿宋_GB2312" w:cs="仿宋_GB2312"/>
          <w:bCs/>
          <w:snapToGrid w:val="0"/>
          <w:spacing w:val="0"/>
          <w:sz w:val="28"/>
          <w:szCs w:val="28"/>
        </w:rPr>
        <w:t>2所标准化普通高中，普通高中大班额全部消除，</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扭转本市大班额方面在全省的落后地位。</w:t>
      </w:r>
      <w:r>
        <w:rPr>
          <w:rFonts w:hint="eastAsia" w:ascii="仿宋_GB2312" w:hAnsi="仿宋_GB2312" w:eastAsia="仿宋_GB2312" w:cs="仿宋_GB2312"/>
          <w:bCs/>
          <w:snapToGrid w:val="0"/>
          <w:color w:val="000000" w:themeColor="text1"/>
          <w:spacing w:val="0"/>
          <w:sz w:val="28"/>
          <w:szCs w:val="28"/>
          <w14:textFill>
            <w14:solidFill>
              <w14:schemeClr w14:val="tx1"/>
            </w14:solidFill>
          </w14:textFill>
        </w:rPr>
        <w:t>重视和加强特殊教育学</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校、专门学校规划建设，保障适龄残疾儿童少年就学和有严重不良行为未成年人教育矫治的需要。</w:t>
      </w:r>
    </w:p>
    <w:tbl>
      <w:tblPr>
        <w:tblStyle w:val="34"/>
        <w:tblW w:w="8647" w:type="dxa"/>
        <w:tblInd w:w="-137" w:type="dxa"/>
        <w:tblLayout w:type="fixed"/>
        <w:tblCellMar>
          <w:top w:w="0" w:type="dxa"/>
          <w:left w:w="0" w:type="dxa"/>
          <w:bottom w:w="0" w:type="dxa"/>
          <w:right w:w="0" w:type="dxa"/>
        </w:tblCellMar>
      </w:tblPr>
      <w:tblGrid>
        <w:gridCol w:w="1985"/>
        <w:gridCol w:w="6662"/>
      </w:tblGrid>
      <w:tr>
        <w:tblPrEx>
          <w:tblCellMar>
            <w:top w:w="0" w:type="dxa"/>
            <w:left w:w="0" w:type="dxa"/>
            <w:bottom w:w="0" w:type="dxa"/>
            <w:right w:w="0" w:type="dxa"/>
          </w:tblCellMar>
        </w:tblPrEx>
        <w:trPr>
          <w:trHeight w:val="445" w:hRule="exact"/>
        </w:trPr>
        <w:tc>
          <w:tcPr>
            <w:tcW w:w="8647" w:type="dxa"/>
            <w:gridSpan w:val="2"/>
            <w:tcBorders>
              <w:top w:val="single" w:color="000000" w:sz="4" w:space="0"/>
              <w:left w:val="single" w:color="000000" w:sz="4" w:space="0"/>
              <w:bottom w:val="single" w:color="000000" w:sz="4" w:space="0"/>
              <w:right w:val="single" w:color="000000" w:sz="4" w:space="0"/>
            </w:tcBorders>
          </w:tcPr>
          <w:p>
            <w:pPr>
              <w:pStyle w:val="35"/>
              <w:keepNext w:val="0"/>
              <w:keepLines w:val="0"/>
              <w:pageBreakBefore w:val="0"/>
              <w:widowControl w:val="0"/>
              <w:tabs>
                <w:tab w:val="left" w:pos="3395"/>
              </w:tabs>
              <w:kinsoku/>
              <w:wordWrap/>
              <w:overflowPunct/>
              <w:topLinePunct w:val="0"/>
              <w:autoSpaceDE/>
              <w:autoSpaceDN/>
              <w:bidi w:val="0"/>
              <w:adjustRightInd/>
              <w:snapToGrid/>
              <w:spacing w:before="73" w:line="360" w:lineRule="exact"/>
              <w:ind w:left="2028"/>
              <w:textAlignment w:val="auto"/>
              <w:rPr>
                <w:rFonts w:ascii="微软雅黑" w:hAnsi="微软雅黑" w:eastAsia="微软雅黑" w:cs="微软雅黑"/>
                <w:snapToGrid w:val="0"/>
                <w:spacing w:val="0"/>
                <w:sz w:val="30"/>
                <w:szCs w:val="30"/>
                <w:lang w:eastAsia="zh-CN"/>
              </w:rPr>
            </w:pPr>
            <w:r>
              <w:rPr>
                <w:rFonts w:hint="eastAsia" w:ascii="黑体" w:hAnsi="黑体" w:eastAsia="黑体" w:cs="黑体"/>
                <w:snapToGrid w:val="0"/>
                <w:spacing w:val="0"/>
                <w:sz w:val="32"/>
                <w:szCs w:val="32"/>
                <w:lang w:eastAsia="zh-CN"/>
              </w:rPr>
              <w:t>专栏</w:t>
            </w:r>
            <w:r>
              <w:rPr>
                <w:rFonts w:hint="eastAsia" w:ascii="黑体" w:hAnsi="黑体" w:eastAsia="黑体" w:cs="黑体"/>
                <w:snapToGrid w:val="0"/>
                <w:spacing w:val="0"/>
                <w:sz w:val="32"/>
                <w:szCs w:val="32"/>
                <w:lang w:val="en-US" w:eastAsia="zh-CN"/>
              </w:rPr>
              <w:t xml:space="preserve">6 </w:t>
            </w:r>
            <w:r>
              <w:rPr>
                <w:rFonts w:ascii="微软雅黑" w:hAnsi="微软雅黑" w:eastAsia="微软雅黑" w:cs="微软雅黑"/>
                <w:snapToGrid w:val="0"/>
                <w:spacing w:val="0"/>
                <w:sz w:val="30"/>
                <w:szCs w:val="30"/>
                <w:lang w:eastAsia="zh-CN"/>
              </w:rPr>
              <w:t>学校布局调整扩容工程</w:t>
            </w:r>
          </w:p>
        </w:tc>
      </w:tr>
      <w:tr>
        <w:tblPrEx>
          <w:tblCellMar>
            <w:top w:w="0" w:type="dxa"/>
            <w:left w:w="0" w:type="dxa"/>
            <w:bottom w:w="0" w:type="dxa"/>
            <w:right w:w="0" w:type="dxa"/>
          </w:tblCellMar>
        </w:tblPrEx>
        <w:trPr>
          <w:trHeight w:val="1879" w:hRule="exact"/>
        </w:trPr>
        <w:tc>
          <w:tcPr>
            <w:tcW w:w="1985" w:type="dxa"/>
            <w:tcBorders>
              <w:top w:val="single" w:color="000000" w:sz="4" w:space="0"/>
              <w:left w:val="single" w:color="000000" w:sz="4" w:space="0"/>
              <w:bottom w:val="single" w:color="auto" w:sz="4" w:space="0"/>
              <w:right w:val="single" w:color="000000" w:sz="4" w:space="0"/>
            </w:tcBorders>
          </w:tcPr>
          <w:p>
            <w:pPr>
              <w:pStyle w:val="35"/>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napToGrid w:val="0"/>
                <w:spacing w:val="0"/>
                <w:sz w:val="24"/>
                <w:szCs w:val="24"/>
                <w:lang w:eastAsia="zh-CN"/>
              </w:rPr>
            </w:pPr>
          </w:p>
          <w:p>
            <w:pPr>
              <w:pStyle w:val="35"/>
              <w:keepNext w:val="0"/>
              <w:keepLines w:val="0"/>
              <w:pageBreakBefore w:val="0"/>
              <w:widowControl w:val="0"/>
              <w:kinsoku/>
              <w:wordWrap/>
              <w:overflowPunct/>
              <w:topLinePunct w:val="0"/>
              <w:autoSpaceDE/>
              <w:autoSpaceDN/>
              <w:bidi w:val="0"/>
              <w:adjustRightInd/>
              <w:snapToGrid/>
              <w:spacing w:before="5" w:line="360" w:lineRule="exact"/>
              <w:textAlignment w:val="auto"/>
              <w:rPr>
                <w:rFonts w:ascii="仿宋_GB2312" w:hAnsi="仿宋_GB2312" w:eastAsia="仿宋_GB2312" w:cs="仿宋_GB2312"/>
                <w:snapToGrid w:val="0"/>
                <w:spacing w:val="0"/>
                <w:sz w:val="24"/>
                <w:szCs w:val="24"/>
                <w:lang w:eastAsia="zh-CN"/>
              </w:rPr>
            </w:pPr>
          </w:p>
          <w:p>
            <w:pPr>
              <w:pStyle w:val="35"/>
              <w:keepNext w:val="0"/>
              <w:keepLines w:val="0"/>
              <w:pageBreakBefore w:val="0"/>
              <w:widowControl w:val="0"/>
              <w:kinsoku/>
              <w:wordWrap/>
              <w:overflowPunct/>
              <w:topLinePunct w:val="0"/>
              <w:autoSpaceDE/>
              <w:autoSpaceDN/>
              <w:bidi w:val="0"/>
              <w:adjustRightInd/>
              <w:snapToGrid/>
              <w:spacing w:line="360" w:lineRule="exact"/>
              <w:ind w:left="103" w:right="106"/>
              <w:textAlignment w:val="auto"/>
              <w:rPr>
                <w:rFonts w:ascii="楷体" w:hAnsi="楷体" w:eastAsia="楷体" w:cs="楷体"/>
                <w:snapToGrid w:val="0"/>
                <w:spacing w:val="0"/>
                <w:sz w:val="24"/>
                <w:szCs w:val="24"/>
                <w:lang w:eastAsia="zh-CN"/>
              </w:rPr>
            </w:pPr>
            <w:r>
              <w:rPr>
                <w:rFonts w:ascii="楷体" w:hAnsi="楷体" w:eastAsia="楷体" w:cs="楷体"/>
                <w:snapToGrid w:val="0"/>
                <w:spacing w:val="0"/>
                <w:sz w:val="24"/>
                <w:szCs w:val="24"/>
                <w:lang w:eastAsia="zh-CN"/>
              </w:rPr>
              <w:t>学前教育普惠扩容工程</w:t>
            </w:r>
          </w:p>
        </w:tc>
        <w:tc>
          <w:tcPr>
            <w:tcW w:w="6662" w:type="dxa"/>
            <w:tcBorders>
              <w:top w:val="single" w:color="000000" w:sz="4" w:space="0"/>
              <w:left w:val="single" w:color="000000" w:sz="4" w:space="0"/>
              <w:bottom w:val="single" w:color="auto" w:sz="4" w:space="0"/>
              <w:right w:val="single" w:color="000000" w:sz="4" w:space="0"/>
            </w:tcBorders>
          </w:tcPr>
          <w:p>
            <w:pPr>
              <w:pStyle w:val="35"/>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楷体" w:hAnsi="楷体" w:eastAsia="楷体" w:cs="楷体"/>
                <w:snapToGrid w:val="0"/>
                <w:spacing w:val="0"/>
                <w:sz w:val="24"/>
                <w:szCs w:val="24"/>
                <w:lang w:eastAsia="zh-CN"/>
              </w:rPr>
            </w:pPr>
            <w:r>
              <w:rPr>
                <w:rFonts w:ascii="楷体" w:hAnsi="楷体" w:eastAsia="楷体" w:cs="楷体"/>
                <w:snapToGrid w:val="0"/>
                <w:spacing w:val="0"/>
                <w:sz w:val="24"/>
                <w:szCs w:val="24"/>
                <w:lang w:eastAsia="zh-CN"/>
              </w:rPr>
              <w:t>加快推进公办园和普惠园建设力度，确保普惠性资源覆盖率达到85%。支持国有企业事业单位、军队、高校、街道、农村集体办好公办园，积极扶持民办园提供普惠性服务。整合资源，以乡镇公办园为示范、中心村幼儿园为基础、村级教学点为补充， 推动大村独立建园、小村联合办园，促进农村幼儿园快速发展。</w:t>
            </w:r>
          </w:p>
        </w:tc>
      </w:tr>
      <w:tr>
        <w:tblPrEx>
          <w:tblCellMar>
            <w:top w:w="0" w:type="dxa"/>
            <w:left w:w="0" w:type="dxa"/>
            <w:bottom w:w="0" w:type="dxa"/>
            <w:right w:w="0" w:type="dxa"/>
          </w:tblCellMar>
        </w:tblPrEx>
        <w:trPr>
          <w:trHeight w:val="2192" w:hRule="exact"/>
        </w:trPr>
        <w:tc>
          <w:tcPr>
            <w:tcW w:w="1985" w:type="dxa"/>
            <w:tcBorders>
              <w:top w:val="single" w:color="auto" w:sz="4" w:space="0"/>
              <w:left w:val="single" w:color="auto" w:sz="4" w:space="0"/>
              <w:bottom w:val="single" w:color="auto" w:sz="4" w:space="0"/>
              <w:right w:val="single" w:color="000000" w:sz="4" w:space="0"/>
            </w:tcBorders>
          </w:tcPr>
          <w:p>
            <w:pPr>
              <w:pStyle w:val="35"/>
              <w:keepNext w:val="0"/>
              <w:keepLines w:val="0"/>
              <w:pageBreakBefore w:val="0"/>
              <w:widowControl w:val="0"/>
              <w:kinsoku/>
              <w:wordWrap/>
              <w:overflowPunct/>
              <w:topLinePunct w:val="0"/>
              <w:autoSpaceDE/>
              <w:autoSpaceDN/>
              <w:bidi w:val="0"/>
              <w:adjustRightInd/>
              <w:snapToGrid/>
              <w:spacing w:line="360" w:lineRule="exact"/>
              <w:textAlignment w:val="auto"/>
              <w:rPr>
                <w:rFonts w:ascii="楷体" w:hAnsi="楷体" w:eastAsia="楷体" w:cs="楷体"/>
                <w:snapToGrid w:val="0"/>
                <w:spacing w:val="0"/>
                <w:sz w:val="24"/>
                <w:szCs w:val="24"/>
                <w:lang w:eastAsia="zh-CN"/>
              </w:rPr>
            </w:pPr>
          </w:p>
          <w:p>
            <w:pPr>
              <w:pStyle w:val="35"/>
              <w:keepNext w:val="0"/>
              <w:keepLines w:val="0"/>
              <w:pageBreakBefore w:val="0"/>
              <w:widowControl w:val="0"/>
              <w:kinsoku/>
              <w:wordWrap/>
              <w:overflowPunct/>
              <w:topLinePunct w:val="0"/>
              <w:autoSpaceDE/>
              <w:autoSpaceDN/>
              <w:bidi w:val="0"/>
              <w:adjustRightInd/>
              <w:snapToGrid/>
              <w:spacing w:before="12" w:line="360" w:lineRule="exact"/>
              <w:textAlignment w:val="auto"/>
              <w:rPr>
                <w:rFonts w:ascii="楷体" w:hAnsi="楷体" w:eastAsia="楷体" w:cs="楷体"/>
                <w:snapToGrid w:val="0"/>
                <w:spacing w:val="0"/>
                <w:sz w:val="24"/>
                <w:szCs w:val="24"/>
                <w:lang w:eastAsia="zh-CN"/>
              </w:rPr>
            </w:pPr>
          </w:p>
          <w:p>
            <w:pPr>
              <w:pStyle w:val="35"/>
              <w:keepNext w:val="0"/>
              <w:keepLines w:val="0"/>
              <w:pageBreakBefore w:val="0"/>
              <w:widowControl w:val="0"/>
              <w:kinsoku/>
              <w:wordWrap/>
              <w:overflowPunct/>
              <w:topLinePunct w:val="0"/>
              <w:autoSpaceDE/>
              <w:autoSpaceDN/>
              <w:bidi w:val="0"/>
              <w:adjustRightInd/>
              <w:snapToGrid/>
              <w:spacing w:line="360" w:lineRule="exact"/>
              <w:ind w:right="106"/>
              <w:textAlignment w:val="auto"/>
              <w:rPr>
                <w:rFonts w:ascii="楷体" w:hAnsi="楷体" w:eastAsia="楷体" w:cs="楷体"/>
                <w:snapToGrid w:val="0"/>
                <w:spacing w:val="0"/>
                <w:sz w:val="24"/>
                <w:szCs w:val="24"/>
                <w:lang w:eastAsia="zh-CN"/>
              </w:rPr>
            </w:pPr>
            <w:r>
              <w:rPr>
                <w:rFonts w:ascii="楷体" w:hAnsi="楷体" w:eastAsia="楷体" w:cs="楷体"/>
                <w:snapToGrid w:val="0"/>
                <w:spacing w:val="0"/>
                <w:sz w:val="24"/>
                <w:szCs w:val="24"/>
                <w:lang w:eastAsia="zh-CN"/>
              </w:rPr>
              <w:t>中小学校布局优化工程</w:t>
            </w:r>
          </w:p>
        </w:tc>
        <w:tc>
          <w:tcPr>
            <w:tcW w:w="6662" w:type="dxa"/>
            <w:tcBorders>
              <w:top w:val="single" w:color="auto" w:sz="4" w:space="0"/>
              <w:left w:val="single" w:color="000000" w:sz="4" w:space="0"/>
              <w:bottom w:val="single" w:color="auto" w:sz="4" w:space="0"/>
              <w:right w:val="single" w:color="auto" w:sz="4" w:space="0"/>
            </w:tcBorders>
          </w:tcPr>
          <w:p>
            <w:pPr>
              <w:pStyle w:val="35"/>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楷体" w:hAnsi="楷体" w:eastAsia="楷体" w:cs="楷体"/>
                <w:snapToGrid w:val="0"/>
                <w:spacing w:val="0"/>
                <w:sz w:val="24"/>
                <w:szCs w:val="24"/>
                <w:lang w:eastAsia="zh-CN"/>
              </w:rPr>
            </w:pPr>
            <w:r>
              <w:rPr>
                <w:rFonts w:ascii="楷体" w:hAnsi="楷体" w:eastAsia="楷体" w:cs="楷体"/>
                <w:snapToGrid w:val="0"/>
                <w:spacing w:val="0"/>
                <w:sz w:val="24"/>
                <w:szCs w:val="24"/>
                <w:lang w:eastAsia="zh-CN"/>
              </w:rPr>
              <w:t>合理布局城乡中小学校，城镇新建</w:t>
            </w:r>
            <w:r>
              <w:rPr>
                <w:rFonts w:hint="eastAsia" w:ascii="楷体" w:hAnsi="楷体" w:eastAsia="楷体" w:cs="楷体"/>
                <w:snapToGrid w:val="0"/>
                <w:spacing w:val="0"/>
                <w:sz w:val="24"/>
                <w:szCs w:val="24"/>
                <w:lang w:val="en-US" w:eastAsia="zh-CN"/>
              </w:rPr>
              <w:t>10</w:t>
            </w:r>
            <w:r>
              <w:rPr>
                <w:rFonts w:ascii="楷体" w:hAnsi="楷体" w:eastAsia="楷体" w:cs="楷体"/>
                <w:snapToGrid w:val="0"/>
                <w:spacing w:val="0"/>
                <w:sz w:val="24"/>
                <w:szCs w:val="24"/>
                <w:lang w:eastAsia="zh-CN"/>
              </w:rPr>
              <w:t>000人</w:t>
            </w:r>
            <w:r>
              <w:rPr>
                <w:rFonts w:hint="eastAsia" w:ascii="楷体" w:hAnsi="楷体" w:eastAsia="楷体" w:cs="楷体"/>
                <w:snapToGrid w:val="0"/>
                <w:spacing w:val="0"/>
                <w:sz w:val="24"/>
                <w:szCs w:val="24"/>
                <w:lang w:eastAsia="zh-CN"/>
              </w:rPr>
              <w:t>口</w:t>
            </w:r>
            <w:r>
              <w:rPr>
                <w:rFonts w:ascii="楷体" w:hAnsi="楷体" w:eastAsia="楷体" w:cs="楷体"/>
                <w:snapToGrid w:val="0"/>
                <w:spacing w:val="0"/>
                <w:sz w:val="24"/>
                <w:szCs w:val="24"/>
                <w:lang w:eastAsia="zh-CN"/>
              </w:rPr>
              <w:t>规模的住宅区配套建设1所小学，</w:t>
            </w:r>
            <w:r>
              <w:rPr>
                <w:rFonts w:hint="eastAsia" w:ascii="楷体" w:hAnsi="楷体" w:eastAsia="楷体" w:cs="楷体"/>
                <w:snapToGrid w:val="0"/>
                <w:spacing w:val="0"/>
                <w:sz w:val="24"/>
                <w:szCs w:val="24"/>
                <w:lang w:val="en-US" w:eastAsia="zh-CN"/>
              </w:rPr>
              <w:t>2</w:t>
            </w:r>
            <w:r>
              <w:rPr>
                <w:rFonts w:ascii="楷体" w:hAnsi="楷体" w:eastAsia="楷体" w:cs="楷体"/>
                <w:snapToGrid w:val="0"/>
                <w:spacing w:val="0"/>
                <w:sz w:val="24"/>
                <w:szCs w:val="24"/>
                <w:lang w:eastAsia="zh-CN"/>
              </w:rPr>
              <w:t>0000人</w:t>
            </w:r>
            <w:r>
              <w:rPr>
                <w:rFonts w:hint="eastAsia" w:ascii="楷体" w:hAnsi="楷体" w:eastAsia="楷体" w:cs="楷体"/>
                <w:snapToGrid w:val="0"/>
                <w:spacing w:val="0"/>
                <w:sz w:val="24"/>
                <w:szCs w:val="24"/>
                <w:lang w:eastAsia="zh-CN"/>
              </w:rPr>
              <w:t>口</w:t>
            </w:r>
            <w:r>
              <w:rPr>
                <w:rFonts w:ascii="楷体" w:hAnsi="楷体" w:eastAsia="楷体" w:cs="楷体"/>
                <w:snapToGrid w:val="0"/>
                <w:spacing w:val="0"/>
                <w:sz w:val="24"/>
                <w:szCs w:val="24"/>
                <w:lang w:eastAsia="zh-CN"/>
              </w:rPr>
              <w:t>规模的住宅区，原则上配套建设1所初中。新建小学、初中原则上不超过2000人规模，九年一贯制学校、十二年一贯制学校不超过2500人规模。农村乡镇初中以寄宿制学校为主，小学原则上以走读为主，在住宿、生活、交通、安全等有保障的前提下可寄宿。</w:t>
            </w:r>
          </w:p>
        </w:tc>
      </w:tr>
    </w:tbl>
    <w:p>
      <w:pPr>
        <w:keepNext w:val="0"/>
        <w:keepLines w:val="0"/>
        <w:pageBreakBefore w:val="0"/>
        <w:kinsoku/>
        <w:wordWrap/>
        <w:overflowPunct/>
        <w:topLinePunct w:val="0"/>
        <w:autoSpaceDE/>
        <w:autoSpaceDN/>
        <w:bidi w:val="0"/>
        <w:adjustRightInd/>
        <w:snapToGrid/>
        <w:spacing w:line="540" w:lineRule="exact"/>
        <w:ind w:firstLine="642" w:firstLineChars="200"/>
        <w:textAlignment w:val="auto"/>
        <w:outlineLvl w:val="0"/>
        <w:rPr>
          <w:rFonts w:ascii="黑体" w:hAnsi="黑体" w:eastAsia="黑体" w:cs="黑体"/>
          <w:b/>
          <w:snapToGrid w:val="0"/>
          <w:color w:val="000000" w:themeColor="text1"/>
          <w:spacing w:val="0"/>
          <w:sz w:val="32"/>
          <w:szCs w:val="32"/>
          <w14:textFill>
            <w14:solidFill>
              <w14:schemeClr w14:val="tx1"/>
            </w14:solidFill>
          </w14:textFill>
        </w:rPr>
      </w:pPr>
      <w:bookmarkStart w:id="107" w:name="_Toc31041"/>
      <w:bookmarkStart w:id="108" w:name="_Toc19888"/>
      <w:r>
        <w:rPr>
          <w:rFonts w:hint="eastAsia" w:ascii="黑体" w:hAnsi="黑体" w:eastAsia="黑体" w:cs="黑体"/>
          <w:b/>
          <w:snapToGrid w:val="0"/>
          <w:color w:val="000000" w:themeColor="text1"/>
          <w:spacing w:val="0"/>
          <w:sz w:val="32"/>
          <w:szCs w:val="32"/>
          <w14:textFill>
            <w14:solidFill>
              <w14:schemeClr w14:val="tx1"/>
            </w14:solidFill>
          </w14:textFill>
        </w:rPr>
        <w:t>九、全面提升教育服务区域发展能力</w:t>
      </w:r>
      <w:bookmarkEnd w:id="107"/>
      <w:bookmarkEnd w:id="108"/>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_GB2312" w:hAnsi="仿宋_GB2312" w:eastAsia="仿宋_GB2312" w:cs="仿宋_GB2312"/>
          <w:snapToGrid w:val="0"/>
          <w:color w:val="000000" w:themeColor="text1"/>
          <w:spacing w:val="0"/>
          <w:sz w:val="28"/>
          <w:szCs w:val="28"/>
          <w14:textFill>
            <w14:solidFill>
              <w14:schemeClr w14:val="tx1"/>
            </w14:solidFill>
          </w14:textFill>
        </w:rPr>
      </w:pP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深化人才培养供给侧结构性改革，坚持产业发展和社会需求为要，加快培养重点领域急需紧缺人才，构建教育服务区域发展新机制，优化区域教育政策支持体系，增强学科专业设置快速响应能力，实现教育资源共建共享，整体提升教育服务区域发展能力。</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outlineLvl w:val="1"/>
        <w:rPr>
          <w:rFonts w:ascii="楷体" w:hAnsi="楷体" w:eastAsia="楷体" w:cs="楷体"/>
          <w:bCs/>
          <w:snapToGrid w:val="0"/>
          <w:color w:val="000000" w:themeColor="text1"/>
          <w:spacing w:val="0"/>
          <w:sz w:val="30"/>
          <w:szCs w:val="30"/>
          <w14:textFill>
            <w14:solidFill>
              <w14:schemeClr w14:val="tx1"/>
            </w14:solidFill>
          </w14:textFill>
        </w:rPr>
      </w:pPr>
      <w:bookmarkStart w:id="109" w:name="_Toc32265"/>
      <w:bookmarkStart w:id="110" w:name="_Toc25355"/>
      <w:r>
        <w:rPr>
          <w:rFonts w:hint="eastAsia" w:ascii="楷体" w:hAnsi="楷体" w:eastAsia="楷体" w:cs="楷体"/>
          <w:bCs/>
          <w:snapToGrid w:val="0"/>
          <w:color w:val="000000" w:themeColor="text1"/>
          <w:spacing w:val="0"/>
          <w:sz w:val="30"/>
          <w:szCs w:val="30"/>
          <w14:textFill>
            <w14:solidFill>
              <w14:schemeClr w14:val="tx1"/>
            </w14:solidFill>
          </w14:textFill>
        </w:rPr>
        <w:t>（一）加大驻马店市支柱产业和现代服务业人才培养力度</w:t>
      </w:r>
      <w:bookmarkEnd w:id="109"/>
      <w:bookmarkEnd w:id="110"/>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_GB2312" w:hAnsi="仿宋_GB2312" w:eastAsia="仿宋_GB2312" w:cs="仿宋_GB2312"/>
          <w:snapToGrid w:val="0"/>
          <w:color w:val="000000" w:themeColor="text1"/>
          <w:spacing w:val="0"/>
          <w:sz w:val="28"/>
          <w:szCs w:val="28"/>
          <w14:textFill>
            <w14:solidFill>
              <w14:schemeClr w14:val="tx1"/>
            </w14:solidFill>
          </w14:textFill>
        </w:rPr>
      </w:pP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着眼区域产业发展，提高教育对区域和产业发展的支撑和服务能力。围绕本市打造“一都六基地”（高端专用车之都、农产品加工及冷藏基地、新型建筑材料基地、户外休闲用品基地、电动自行车基地、生物制药基地、能源化工基地），加强创新人才特别是拔尖创新人才的培养。根据本市改造提升传统服务业，大力发展现代服务业，加快现代金融业、现代物流业、电商产业、文化旅游业发展、养老托育健康产业发展需要，加强职业院校专业建设以及职业技能培训能力提升。综合运用招生计划、就业反馈、人才需求预警等方式，引导高等学校和职业学校及时调整与发展需求不相适应的学科专业。强化高等学校科技服务职能，为师生创新创业提供支持与服务。大力支持城市与大学开展共建工作，形成以城育校、以校兴城、共同发展的良好格局。</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outlineLvl w:val="1"/>
        <w:rPr>
          <w:rFonts w:ascii="楷体" w:hAnsi="楷体" w:eastAsia="楷体" w:cs="楷体"/>
          <w:bCs/>
          <w:snapToGrid w:val="0"/>
          <w:color w:val="000000" w:themeColor="text1"/>
          <w:spacing w:val="0"/>
          <w:sz w:val="30"/>
          <w:szCs w:val="30"/>
          <w14:textFill>
            <w14:solidFill>
              <w14:schemeClr w14:val="tx1"/>
            </w14:solidFill>
          </w14:textFill>
        </w:rPr>
      </w:pPr>
      <w:bookmarkStart w:id="111" w:name="_Toc13311"/>
      <w:bookmarkStart w:id="112" w:name="_Toc2244"/>
      <w:r>
        <w:rPr>
          <w:rFonts w:hint="eastAsia" w:ascii="楷体" w:hAnsi="楷体" w:eastAsia="楷体" w:cs="楷体"/>
          <w:bCs/>
          <w:snapToGrid w:val="0"/>
          <w:color w:val="000000" w:themeColor="text1"/>
          <w:spacing w:val="0"/>
          <w:sz w:val="30"/>
          <w:szCs w:val="30"/>
          <w14:textFill>
            <w14:solidFill>
              <w14:schemeClr w14:val="tx1"/>
            </w14:solidFill>
          </w14:textFill>
        </w:rPr>
        <w:t>（二）夯实农业农村现代化人才基础</w:t>
      </w:r>
      <w:bookmarkEnd w:id="111"/>
      <w:bookmarkEnd w:id="112"/>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_GB2312" w:hAnsi="仿宋_GB2312" w:eastAsia="仿宋_GB2312" w:cs="仿宋_GB2312"/>
          <w:snapToGrid w:val="0"/>
          <w:color w:val="000000" w:themeColor="text1"/>
          <w:spacing w:val="0"/>
          <w:sz w:val="28"/>
          <w:szCs w:val="28"/>
          <w14:textFill>
            <w14:solidFill>
              <w14:schemeClr w14:val="tx1"/>
            </w14:solidFill>
          </w14:textFill>
        </w:rPr>
      </w:pP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紧紧围绕现代农业强市建设，主动适应农林经济发展新常态新产业新业态，加大涉农人才培养力度。</w:t>
      </w:r>
      <w:r>
        <w:rPr>
          <w:rFonts w:hint="eastAsia" w:ascii="仿宋_GB2312" w:hAnsi="仿宋_GB2312" w:eastAsia="仿宋_GB2312" w:cs="仿宋_GB2312"/>
          <w:snapToGrid w:val="0"/>
          <w:color w:val="auto"/>
          <w:spacing w:val="0"/>
          <w:sz w:val="28"/>
          <w:szCs w:val="28"/>
        </w:rPr>
        <w:t>以河南省新农科建设大别山行动计划为载体，</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着力培养知农爱农的新型卓越农林人才。根据</w:t>
      </w:r>
      <w:r>
        <w:rPr>
          <w:rFonts w:hint="eastAsia" w:ascii="仿宋_GB2312" w:hAnsi="仿宋_GB2312" w:eastAsia="仿宋_GB2312" w:cs="仿宋_GB2312"/>
          <w:snapToGrid w:val="0"/>
          <w:color w:val="000000"/>
          <w:spacing w:val="0"/>
          <w:sz w:val="28"/>
          <w:szCs w:val="28"/>
        </w:rPr>
        <w:t>河南省委、省政府《关于贯彻落实习近平总书记视察河南重要讲话精神支持河南大别山革命老区加快振兴发展的若干意见》（豫发﹝2020﹞10</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号）中</w:t>
      </w:r>
      <w:r>
        <w:rPr>
          <w:rFonts w:hint="eastAsia" w:ascii="仿宋_GB2312" w:hAnsi="仿宋_GB2312" w:eastAsia="仿宋_GB2312" w:cs="仿宋_GB2312"/>
          <w:snapToGrid w:val="0"/>
          <w:color w:val="000000"/>
          <w:spacing w:val="0"/>
          <w:sz w:val="28"/>
          <w:szCs w:val="28"/>
        </w:rPr>
        <w:t>“支持驻马店市筹建以农产品加工专业为主的高等职业技术学院”精神</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，筹建</w:t>
      </w:r>
      <w:r>
        <w:rPr>
          <w:rFonts w:hint="eastAsia" w:ascii="仿宋_GB2312" w:hAnsi="仿宋_GB2312" w:eastAsia="仿宋_GB2312" w:cs="仿宋_GB2312"/>
          <w:snapToGrid w:val="0"/>
          <w:color w:val="000000"/>
          <w:spacing w:val="0"/>
          <w:sz w:val="28"/>
          <w:szCs w:val="28"/>
        </w:rPr>
        <w:t>驻马店农业工程职业学院</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筹建涉农类高校既可以支持有“中原粮仓”之称的驻马店涉农产业发展，也可为豫南地区培养涉农专业技术人才，有效弥补全省及我市涉农类高等院校总体设置不足的现状。加强覆盖县、乡、村三级的县域职业教育和培训体系建设，探索涉农院校人才培养新机制、新模式，支持有条件的学校推行农学结合的弹性学习培养模式，积极开展高素质农民职业教育和职业技能培训，着力培养培训有文化、懂技术、善经营、会管理的高素质农民和乡村振兴带头人。</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outlineLvl w:val="1"/>
        <w:rPr>
          <w:rFonts w:ascii="楷体" w:hAnsi="楷体" w:eastAsia="楷体" w:cs="楷体"/>
          <w:bCs/>
          <w:snapToGrid w:val="0"/>
          <w:color w:val="000000" w:themeColor="text1"/>
          <w:spacing w:val="0"/>
          <w:sz w:val="30"/>
          <w:szCs w:val="30"/>
          <w14:textFill>
            <w14:solidFill>
              <w14:schemeClr w14:val="tx1"/>
            </w14:solidFill>
          </w14:textFill>
        </w:rPr>
      </w:pPr>
      <w:bookmarkStart w:id="113" w:name="_Toc6898"/>
      <w:bookmarkStart w:id="114" w:name="_Toc22107"/>
      <w:r>
        <w:rPr>
          <w:rFonts w:hint="eastAsia" w:ascii="楷体" w:hAnsi="楷体" w:eastAsia="楷体" w:cs="楷体"/>
          <w:bCs/>
          <w:snapToGrid w:val="0"/>
          <w:color w:val="000000" w:themeColor="text1"/>
          <w:spacing w:val="0"/>
          <w:sz w:val="30"/>
          <w:szCs w:val="30"/>
          <w14:textFill>
            <w14:solidFill>
              <w14:schemeClr w14:val="tx1"/>
            </w14:solidFill>
          </w14:textFill>
        </w:rPr>
        <w:t>（三）统筹推进乡村教育振兴</w:t>
      </w:r>
      <w:bookmarkEnd w:id="113"/>
      <w:bookmarkEnd w:id="114"/>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_GB2312" w:hAnsi="仿宋_GB2312" w:eastAsia="仿宋_GB2312" w:cs="仿宋_GB2312"/>
          <w:snapToGrid w:val="0"/>
          <w:color w:val="000000" w:themeColor="text1"/>
          <w:spacing w:val="0"/>
          <w:sz w:val="28"/>
          <w:szCs w:val="28"/>
          <w14:textFill>
            <w14:solidFill>
              <w14:schemeClr w14:val="tx1"/>
            </w14:solidFill>
          </w14:textFill>
        </w:rPr>
      </w:pP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加强乡村学校建设。支持乡镇中心小学办成寄宿制学校，推行乡镇中心学校与教学点一体化办学。在县城和中心镇新建改扩建一批高中和中等职业学校。推进乡村温馨校园建设，优化乡村学校教书育人环境。继续实施农村义务教育学生营养改善计划。加强对易返贫致贫人口监测，提升教育资助准确率。特别关注大别山革命老区教育发展，以教育优先发展推动大别山革命老区加快振兴，努力实现“两个更好”。</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_GB2312" w:hAnsi="仿宋_GB2312" w:eastAsia="仿宋_GB2312" w:cs="仿宋_GB2312"/>
          <w:snapToGrid w:val="0"/>
          <w:color w:val="000000" w:themeColor="text1"/>
          <w:spacing w:val="0"/>
          <w:sz w:val="28"/>
          <w:szCs w:val="28"/>
          <w14:textFill>
            <w14:solidFill>
              <w14:schemeClr w14:val="tx1"/>
            </w14:solidFill>
          </w14:textFill>
        </w:rPr>
      </w:pP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提高农村教师队伍建设水平。继续实施</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农村学校地方公费师范生计划</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加快推进乡村教学点和乡村学校教师队伍建设。构建乡村教师发展支持体系，改革乡村教师培训方式，采取下沉县区、送教上门、联合工作坊等形式，扩大培训覆盖面，提高乡村骨干教师专业能力。积极引导优秀教师向农村学校、薄弱学校流动，探索构建招聘和支教等多渠道并举，高端人才、骨干教师和高校毕业生、退休教师</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等</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多层次人员踊跃到乡村从教、支教的格局。</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_GB2312" w:hAnsi="仿宋_GB2312" w:eastAsia="仿宋_GB2312" w:cs="仿宋_GB2312"/>
          <w:snapToGrid w:val="0"/>
          <w:color w:val="000000" w:themeColor="text1"/>
          <w:spacing w:val="0"/>
          <w:sz w:val="28"/>
          <w:szCs w:val="28"/>
          <w14:textFill>
            <w14:solidFill>
              <w14:schemeClr w14:val="tx1"/>
            </w14:solidFill>
          </w14:textFill>
        </w:rPr>
      </w:pP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加大农村和脱贫地区职业教育支持力度。打造升级版“一村一名大学生计划”。积极支持高职院校开展高素质农民职业教育和职业技能培训，充分利用开放大学、职业院校、成人高校等远程教育资源，实施好乡村远程教育培训。创新和完善新生代农民工技能培训模式和机制，开展</w:t>
      </w:r>
      <w:r>
        <w:rPr>
          <w:rFonts w:hint="eastAsia" w:ascii="仿宋_GB2312" w:hAnsi="仿宋_GB2312" w:eastAsia="仿宋_GB2312" w:cs="仿宋_GB2312"/>
          <w:snapToGrid w:val="0"/>
          <w:color w:val="auto"/>
          <w:spacing w:val="0"/>
          <w:sz w:val="28"/>
          <w:szCs w:val="28"/>
        </w:rPr>
        <w:t>订单</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定岗定向培训。面向新型农业经营主体和服务主体，探索田间课堂、网络教室等培训方式，建设技能型乡村。实施推普助力乡村振兴计划。落实经典润乡土计划。</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outlineLvl w:val="1"/>
        <w:rPr>
          <w:rFonts w:ascii="楷体" w:hAnsi="楷体" w:eastAsia="楷体" w:cs="楷体"/>
          <w:bCs/>
          <w:snapToGrid w:val="0"/>
          <w:color w:val="000000" w:themeColor="text1"/>
          <w:spacing w:val="0"/>
          <w:sz w:val="30"/>
          <w:szCs w:val="30"/>
          <w14:textFill>
            <w14:solidFill>
              <w14:schemeClr w14:val="tx1"/>
            </w14:solidFill>
          </w14:textFill>
        </w:rPr>
      </w:pPr>
      <w:bookmarkStart w:id="115" w:name="_Toc12044"/>
      <w:bookmarkStart w:id="116" w:name="_Toc31801"/>
      <w:r>
        <w:rPr>
          <w:rFonts w:hint="eastAsia" w:ascii="楷体" w:hAnsi="楷体" w:eastAsia="楷体" w:cs="楷体"/>
          <w:bCs/>
          <w:snapToGrid w:val="0"/>
          <w:color w:val="000000" w:themeColor="text1"/>
          <w:spacing w:val="0"/>
          <w:sz w:val="30"/>
          <w:szCs w:val="30"/>
          <w14:textFill>
            <w14:solidFill>
              <w14:schemeClr w14:val="tx1"/>
            </w14:solidFill>
          </w14:textFill>
        </w:rPr>
        <w:t>（四）加快推进大别山革命老区教育振兴</w:t>
      </w:r>
      <w:bookmarkEnd w:id="115"/>
      <w:bookmarkEnd w:id="116"/>
    </w:p>
    <w:p>
      <w:pPr>
        <w:pStyle w:val="2"/>
        <w:keepNext w:val="0"/>
        <w:keepLines w:val="0"/>
        <w:pageBreakBefore w:val="0"/>
        <w:kinsoku/>
        <w:wordWrap/>
        <w:overflowPunct/>
        <w:topLinePunct w:val="0"/>
        <w:autoSpaceDE/>
        <w:autoSpaceDN/>
        <w:bidi w:val="0"/>
        <w:adjustRightInd/>
        <w:snapToGrid/>
        <w:spacing w:line="540" w:lineRule="exact"/>
        <w:textAlignment w:val="auto"/>
        <w:rPr>
          <w:rFonts w:ascii="仿宋_GB2312" w:hAnsi="仿宋_GB2312" w:eastAsia="仿宋_GB2312" w:cs="仿宋_GB2312"/>
          <w:snapToGrid w:val="0"/>
          <w:color w:val="000000" w:themeColor="text1"/>
          <w:spacing w:val="0"/>
          <w:sz w:val="28"/>
          <w:szCs w:val="28"/>
          <w14:textFill>
            <w14:solidFill>
              <w14:schemeClr w14:val="tx1"/>
            </w14:solidFill>
          </w14:textFill>
        </w:rPr>
      </w:pP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加快推进大别山革命老区教育现代化进程，贯彻落实国务院《大别山革命老区振兴发展规划》，积极参与河南省大别山革命老区教育区域协同机制，推动区域内教育深度合作，实现优质教育资源共享。支持大别山革命老区实施义务教育薄弱环节与能力</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提升</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工程、标准化学校建设等计划，在资金、项目等方面向其倾斜。支持省内优质中小学（幼儿园）与大别山革命老区中小学（幼儿园）结对帮扶。推动县域整合职业教育资源，加强职教园区建设。推进大别山革命老区高水平职业院校和高水平专业（群）建设。继续将义务教育阶段中小学校校舍维修纳入校舍维修改造长效机制，将大别山革命老区纳入普通高中改善办学条件专项资金项目支持范围。开发红色教育资源，建设红色教育研学旅行基地（营地）。</w:t>
      </w:r>
    </w:p>
    <w:p>
      <w:pPr>
        <w:keepNext w:val="0"/>
        <w:keepLines w:val="0"/>
        <w:pageBreakBefore w:val="0"/>
        <w:kinsoku/>
        <w:wordWrap/>
        <w:overflowPunct/>
        <w:topLinePunct w:val="0"/>
        <w:autoSpaceDE/>
        <w:autoSpaceDN/>
        <w:bidi w:val="0"/>
        <w:adjustRightInd/>
        <w:snapToGrid/>
        <w:spacing w:line="540" w:lineRule="exact"/>
        <w:ind w:firstLine="642" w:firstLineChars="200"/>
        <w:textAlignment w:val="auto"/>
        <w:outlineLvl w:val="0"/>
        <w:rPr>
          <w:rFonts w:ascii="黑体" w:hAnsi="黑体" w:eastAsia="黑体" w:cs="黑体"/>
          <w:b/>
          <w:snapToGrid w:val="0"/>
          <w:color w:val="000000" w:themeColor="text1"/>
          <w:spacing w:val="0"/>
          <w:sz w:val="32"/>
          <w:szCs w:val="32"/>
          <w14:textFill>
            <w14:solidFill>
              <w14:schemeClr w14:val="tx1"/>
            </w14:solidFill>
          </w14:textFill>
        </w:rPr>
      </w:pPr>
      <w:bookmarkStart w:id="117" w:name="_Toc17436"/>
      <w:bookmarkStart w:id="118" w:name="_Toc10075"/>
      <w:r>
        <w:rPr>
          <w:rFonts w:hint="eastAsia" w:ascii="黑体" w:hAnsi="黑体" w:eastAsia="黑体" w:cs="黑体"/>
          <w:b/>
          <w:snapToGrid w:val="0"/>
          <w:color w:val="000000" w:themeColor="text1"/>
          <w:spacing w:val="0"/>
          <w:sz w:val="32"/>
          <w:szCs w:val="32"/>
          <w14:textFill>
            <w14:solidFill>
              <w14:schemeClr w14:val="tx1"/>
            </w14:solidFill>
          </w14:textFill>
        </w:rPr>
        <w:t>十、着力建设高素质专业化创新型教师队伍</w:t>
      </w:r>
      <w:bookmarkEnd w:id="117"/>
      <w:bookmarkEnd w:id="118"/>
    </w:p>
    <w:p>
      <w:pPr>
        <w:keepNext w:val="0"/>
        <w:keepLines w:val="0"/>
        <w:pageBreakBefore w:val="0"/>
        <w:kinsoku/>
        <w:wordWrap/>
        <w:overflowPunct/>
        <w:topLinePunct w:val="0"/>
        <w:autoSpaceDE/>
        <w:autoSpaceDN/>
        <w:bidi w:val="0"/>
        <w:adjustRightInd/>
        <w:snapToGrid/>
        <w:spacing w:line="540" w:lineRule="exact"/>
        <w:ind w:firstLine="560" w:firstLineChars="200"/>
        <w:jc w:val="left"/>
        <w:textAlignment w:val="auto"/>
        <w:rPr>
          <w:rFonts w:ascii="仿宋_GB2312" w:hAnsi="仿宋_GB2312" w:eastAsia="仿宋_GB2312" w:cs="仿宋_GB2312"/>
          <w:snapToGrid w:val="0"/>
          <w:color w:val="000000" w:themeColor="text1"/>
          <w:spacing w:val="0"/>
          <w:sz w:val="28"/>
          <w:szCs w:val="28"/>
          <w14:textFill>
            <w14:solidFill>
              <w14:schemeClr w14:val="tx1"/>
            </w14:solidFill>
          </w14:textFill>
        </w:rPr>
      </w:pPr>
      <w:bookmarkStart w:id="119" w:name="_Toc12855"/>
      <w:bookmarkStart w:id="120" w:name="_Toc24633"/>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坚持把教师</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队伍建设</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置于教育事业发展的战略支点，落实教师职业道德规范，优化教师队伍管理，切实提高教师社会地位，建设高素质教师队伍，</w:t>
      </w:r>
      <w:r>
        <w:rPr>
          <w:rFonts w:hint="eastAsia" w:ascii="仿宋_GB2312" w:hAnsi="仿宋_GB2312" w:eastAsia="仿宋_GB2312" w:cs="仿宋_GB2312"/>
          <w:snapToGrid w:val="0"/>
          <w:color w:val="000000"/>
          <w:spacing w:val="0"/>
          <w:sz w:val="28"/>
          <w:szCs w:val="28"/>
        </w:rPr>
        <w:t>让教师在岗位上有幸福感、在事业上有成就感、在社会上有荣誉感。</w:t>
      </w:r>
      <w:bookmarkEnd w:id="119"/>
      <w:bookmarkEnd w:id="120"/>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outlineLvl w:val="1"/>
        <w:rPr>
          <w:rFonts w:ascii="楷体" w:hAnsi="楷体" w:eastAsia="楷体" w:cs="楷体"/>
          <w:bCs/>
          <w:snapToGrid w:val="0"/>
          <w:color w:val="000000" w:themeColor="text1"/>
          <w:spacing w:val="0"/>
          <w:sz w:val="30"/>
          <w:szCs w:val="30"/>
          <w14:textFill>
            <w14:solidFill>
              <w14:schemeClr w14:val="tx1"/>
            </w14:solidFill>
          </w14:textFill>
        </w:rPr>
      </w:pPr>
      <w:bookmarkStart w:id="121" w:name="_Toc20413"/>
      <w:bookmarkStart w:id="122" w:name="_Toc1398"/>
      <w:r>
        <w:rPr>
          <w:rFonts w:hint="eastAsia" w:ascii="楷体" w:hAnsi="楷体" w:eastAsia="楷体" w:cs="楷体"/>
          <w:bCs/>
          <w:snapToGrid w:val="0"/>
          <w:color w:val="000000" w:themeColor="text1"/>
          <w:spacing w:val="0"/>
          <w:sz w:val="30"/>
          <w:szCs w:val="30"/>
          <w14:textFill>
            <w14:solidFill>
              <w14:schemeClr w14:val="tx1"/>
            </w14:solidFill>
          </w14:textFill>
        </w:rPr>
        <w:t>（一）加强师德师风建设</w:t>
      </w:r>
      <w:bookmarkEnd w:id="121"/>
      <w:bookmarkEnd w:id="122"/>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_GB2312" w:hAnsi="仿宋_GB2312" w:eastAsia="仿宋_GB2312" w:cs="仿宋_GB2312"/>
          <w:snapToGrid w:val="0"/>
          <w:color w:val="000000" w:themeColor="text1"/>
          <w:spacing w:val="0"/>
          <w:sz w:val="28"/>
          <w:szCs w:val="28"/>
          <w14:textFill>
            <w14:solidFill>
              <w14:schemeClr w14:val="tx1"/>
            </w14:solidFill>
          </w14:textFill>
        </w:rPr>
      </w:pP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强化教师思政建设和理想信念教育。用习近平新时代中国特色社会主义思想武装教师头脑，推动教师树立正确的历史观、民族观、国家观、文化观。健全把骨干教师培养成党员，把党员教师培养成教学、科研、管理骨干的“双培养”机制。坚持把师德师风作为教师评价的第一标准，推行师德考核负面清单制度，全面落实师德失范一票否决制。把理想信念、职业道德、法治教育、心理健康教育等融入教师培养、培训和管理工作，引导教师以德修身、以德立学、以德施教、以德育德。加大“出彩河南人之最美教师”“天中最美教师”“驻马店市优秀教师”“驻马店市师德先进个人”“驻马店市年度教育人物”等表彰和宣传力度，发挥先进典型、教书育人楷模的师德示范引领和辐射带动作用。</w:t>
      </w:r>
    </w:p>
    <w:p>
      <w:pPr>
        <w:pStyle w:val="2"/>
        <w:keepNext w:val="0"/>
        <w:keepLines w:val="0"/>
        <w:pageBreakBefore w:val="0"/>
        <w:kinsoku/>
        <w:wordWrap/>
        <w:overflowPunct/>
        <w:topLinePunct w:val="0"/>
        <w:autoSpaceDE/>
        <w:autoSpaceDN/>
        <w:bidi w:val="0"/>
        <w:adjustRightInd/>
        <w:snapToGrid/>
        <w:spacing w:line="540" w:lineRule="exact"/>
        <w:ind w:firstLine="420"/>
        <w:textAlignment w:val="auto"/>
        <w:rPr>
          <w:rFonts w:ascii="仿宋" w:hAnsi="仿宋" w:eastAsia="仿宋"/>
          <w:snapToGrid w:val="0"/>
          <w:spacing w:val="0"/>
          <w:sz w:val="28"/>
          <w:szCs w:val="28"/>
        </w:rPr>
      </w:pPr>
      <w:r>
        <w:rPr>
          <w:rFonts w:hint="eastAsia" w:ascii="仿宋" w:hAnsi="仿宋" w:eastAsia="仿宋"/>
          <w:snapToGrid w:val="0"/>
          <w:spacing w:val="0"/>
          <w:sz w:val="28"/>
          <w:szCs w:val="28"/>
        </w:rPr>
        <w:t>大力提高教师思想政治素质。把提高教师思想政治素质和职业道德水平摆在首要位置，紧扣习近平新时代中国特色社会主义思想入脑入心这个重点，着力加强理想信念教育，加强教师法律、法规学习，增强教师法治意识。深化大中小学思政课一体化建设，依托省内外高等院校、科研机构搭建教师思想政治工作研究平台，系统研究教师思想政治工作，引导教师坚持正确的政治方向，树立崇高的职业理想和坚定的职业信念，推动教师成为先进文化的传播者、党执政的坚定支持者、学生健康成长的指导者和引路人。发挥驻马店优秀传统文化和红色文化资源优势，深入开展红色文化进校园系列活动，引导广大教师特别是思想政治课教师、青年教师、班主任、辅导员等充分了解党情、国情、省情、市情，传承红色基因，筑牢思想教育阵地。</w:t>
      </w:r>
    </w:p>
    <w:p>
      <w:pPr>
        <w:pStyle w:val="2"/>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_GB2312" w:hAnsi="仿宋_GB2312" w:eastAsia="仿宋_GB2312" w:cs="仿宋_GB2312"/>
          <w:snapToGrid w:val="0"/>
          <w:color w:val="000000" w:themeColor="text1"/>
          <w:spacing w:val="0"/>
          <w:sz w:val="28"/>
          <w:szCs w:val="28"/>
          <w14:textFill>
            <w14:solidFill>
              <w14:schemeClr w14:val="tx1"/>
            </w14:solidFill>
          </w14:textFill>
        </w:rPr>
      </w:pPr>
      <w:r>
        <w:rPr>
          <w:rFonts w:hint="eastAsia" w:ascii="仿宋" w:hAnsi="仿宋" w:eastAsia="仿宋"/>
          <w:snapToGrid w:val="0"/>
          <w:spacing w:val="0"/>
          <w:sz w:val="28"/>
          <w:szCs w:val="28"/>
        </w:rPr>
        <w:t>健全师德师风建设长效机制。举办优秀教师先进事迹巡回报告会，引领和激励广大教师以先进典型为榜样，自觉践行“四有”“四个引路人”“四个相统一”的要求，立德树人、爱岗敬业、勇于创新，上好课、育好人。全面贯彻落实</w:t>
      </w:r>
      <w:r>
        <w:rPr>
          <w:rFonts w:hint="eastAsia" w:ascii="仿宋" w:hAnsi="仿宋" w:eastAsia="仿宋"/>
          <w:snapToGrid w:val="0"/>
          <w:spacing w:val="0"/>
          <w:sz w:val="28"/>
          <w:szCs w:val="28"/>
          <w:lang w:eastAsia="zh-CN"/>
        </w:rPr>
        <w:t>《</w:t>
      </w:r>
      <w:r>
        <w:rPr>
          <w:rFonts w:hint="eastAsia" w:ascii="仿宋" w:hAnsi="仿宋" w:eastAsia="仿宋"/>
          <w:snapToGrid w:val="0"/>
          <w:spacing w:val="0"/>
          <w:sz w:val="28"/>
          <w:szCs w:val="28"/>
        </w:rPr>
        <w:t>新时代教师职业行为十项准则</w:t>
      </w:r>
      <w:r>
        <w:rPr>
          <w:rFonts w:hint="eastAsia" w:ascii="仿宋" w:hAnsi="仿宋" w:eastAsia="仿宋"/>
          <w:snapToGrid w:val="0"/>
          <w:spacing w:val="0"/>
          <w:sz w:val="28"/>
          <w:szCs w:val="28"/>
          <w:lang w:eastAsia="zh-CN"/>
        </w:rPr>
        <w:t>》</w:t>
      </w:r>
      <w:r>
        <w:rPr>
          <w:rFonts w:hint="eastAsia" w:ascii="仿宋" w:hAnsi="仿宋" w:eastAsia="仿宋"/>
          <w:snapToGrid w:val="0"/>
          <w:spacing w:val="0"/>
          <w:sz w:val="28"/>
          <w:szCs w:val="28"/>
        </w:rPr>
        <w:t>，弘扬高尚师德，实施师德师风建设工程，突出全员全方位全过程师德养成，引导广大教师真正把教书育人和自我修养结合起来，时刻自重、自省、自警、自励，自觉做以德立身、以德立学、以德施教、以德育德的楷模，维护教师职业形象，提振师道尊严。将师德师风作为评价教师素质的第一标准，制定《驻马店市中小学教师职业道德考核办法》，坚持严格制度规定和日常教育督导相结合，积极探索师德承诺制度，建立教师个人信用记录，完善诚信承诺和失信惩戒机制。强化师德考核，考核结果作为教师资格定期注册、岗位聘用、评优奖励等首要依据，推行教师师德考核负面清单制度，在年度考核、职称评聘、推优评先、表彰奖励等工作中实行师德失范“一票否决”。规范教师依法执教、廉洁从教行为，持续开展教师师德失范专项整治活动，严格落实《驻马店市中小学教师违反师德行为处理暂行办法》《驻马店市在职教师校外有偿补课行为处理办法》，对于教育部规定的“违反师德”的10种行为和不履行教师职责、与教师身份不相符的现象，视情节轻重，采取通报批评教育、降低技术等级、调离工作岗位、解除聘用合同等进行严肃处理，涉嫌违法犯罪的移送司法机关依法处理。</w:t>
      </w:r>
    </w:p>
    <w:p>
      <w:pPr>
        <w:pStyle w:val="2"/>
        <w:keepNext w:val="0"/>
        <w:keepLines w:val="0"/>
        <w:pageBreakBefore w:val="0"/>
        <w:kinsoku/>
        <w:wordWrap/>
        <w:overflowPunct/>
        <w:topLinePunct w:val="0"/>
        <w:autoSpaceDE/>
        <w:autoSpaceDN/>
        <w:bidi w:val="0"/>
        <w:adjustRightInd/>
        <w:snapToGrid/>
        <w:spacing w:line="540" w:lineRule="exact"/>
        <w:textAlignment w:val="auto"/>
        <w:rPr>
          <w:rFonts w:ascii="仿宋_GB2312" w:hAnsi="仿宋_GB2312" w:eastAsia="仿宋_GB2312" w:cs="仿宋_GB2312"/>
          <w:snapToGrid w:val="0"/>
          <w:color w:val="000000" w:themeColor="text1"/>
          <w:spacing w:val="0"/>
          <w:sz w:val="28"/>
          <w:szCs w:val="28"/>
          <w14:textFill>
            <w14:solidFill>
              <w14:schemeClr w14:val="tx1"/>
            </w14:solidFill>
          </w14:textFill>
        </w:rPr>
      </w:pP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完善师德养成保障和提升机制。以师德师风基地建设为</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抓手</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推动师德师风建设常态化和长效化。全面落实新时代教师职业行为准则，把师德表现作为教师资格定期注册、业绩考核、职称评审、岗位聘用、评优奖励的首要要求。构建师德师风建设与社会监督机制，树立新时代教师新形象。鼓励行业企业在向社会公众提供服务时“教师优先”。加强尊师教育，弘扬尊师风尚，营造全社会尊师重教良好氛围。</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outlineLvl w:val="1"/>
        <w:rPr>
          <w:rFonts w:ascii="楷体" w:hAnsi="楷体" w:eastAsia="楷体" w:cs="楷体"/>
          <w:bCs/>
          <w:snapToGrid w:val="0"/>
          <w:color w:val="000000" w:themeColor="text1"/>
          <w:spacing w:val="0"/>
          <w:sz w:val="30"/>
          <w:szCs w:val="30"/>
          <w14:textFill>
            <w14:solidFill>
              <w14:schemeClr w14:val="tx1"/>
            </w14:solidFill>
          </w14:textFill>
        </w:rPr>
      </w:pPr>
      <w:bookmarkStart w:id="123" w:name="_Toc20393"/>
      <w:bookmarkStart w:id="124" w:name="_Toc692"/>
      <w:r>
        <w:rPr>
          <w:rFonts w:hint="eastAsia" w:ascii="楷体" w:hAnsi="楷体" w:eastAsia="楷体" w:cs="楷体"/>
          <w:bCs/>
          <w:snapToGrid w:val="0"/>
          <w:color w:val="000000" w:themeColor="text1"/>
          <w:spacing w:val="0"/>
          <w:sz w:val="30"/>
          <w:szCs w:val="30"/>
          <w14:textFill>
            <w14:solidFill>
              <w14:schemeClr w14:val="tx1"/>
            </w14:solidFill>
          </w14:textFill>
        </w:rPr>
        <w:t>（二）优化教师队伍资源统筹配置</w:t>
      </w:r>
      <w:bookmarkEnd w:id="123"/>
      <w:bookmarkEnd w:id="124"/>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_GB2312" w:hAnsi="仿宋_GB2312" w:eastAsia="仿宋_GB2312" w:cs="仿宋_GB2312"/>
          <w:snapToGrid w:val="0"/>
          <w:spacing w:val="0"/>
          <w:sz w:val="28"/>
          <w:szCs w:val="28"/>
        </w:rPr>
      </w:pPr>
      <w:r>
        <w:rPr>
          <w:rFonts w:hint="eastAsia" w:ascii="仿宋_GB2312" w:hAnsi="仿宋_GB2312" w:eastAsia="仿宋_GB2312" w:cs="仿宋_GB2312"/>
          <w:snapToGrid w:val="0"/>
          <w:spacing w:val="0"/>
          <w:sz w:val="28"/>
          <w:szCs w:val="28"/>
        </w:rPr>
        <w:t>优化城乡义务教育教师资源配置。以贯彻落实</w:t>
      </w:r>
      <w:r>
        <w:rPr>
          <w:rFonts w:hint="eastAsia" w:ascii="仿宋_GB2312" w:hAnsi="仿宋_GB2312" w:eastAsia="仿宋_GB2312" w:cs="仿宋_GB2312"/>
          <w:snapToGrid w:val="0"/>
          <w:spacing w:val="0"/>
          <w:sz w:val="28"/>
          <w:szCs w:val="28"/>
          <w:lang w:eastAsia="zh-CN"/>
        </w:rPr>
        <w:t>河南省教育厅等四部门</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《河南省关于加快推行中小学教师“县管校聘”管理改革的指导意见》为突破口，加大教师统筹管理力度，</w:t>
      </w:r>
      <w:r>
        <w:rPr>
          <w:rFonts w:hint="eastAsia" w:ascii="仿宋_GB2312" w:hAnsi="仿宋_GB2312" w:eastAsia="仿宋_GB2312" w:cs="仿宋_GB2312"/>
          <w:snapToGrid w:val="0"/>
          <w:spacing w:val="0"/>
          <w:sz w:val="28"/>
          <w:szCs w:val="28"/>
        </w:rPr>
        <w:t>推进县域内义务教育学校校长教师交流轮岗。深入实施乡村教师支持计划，建强乡村教师队伍。完善教师补充机制，继续实施特岗计划、地方公费师范生培养计划、农村学校教育硕士师资培养计划，全面实施乡村中小学首席教师岗位计划、乡村优秀青年教师培养奖励计划。创新教师招聘办法，鼓励优秀高校毕业生到乡村任教。持续开展边远贫困地区、革命老区的“两区”对口支教。</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ascii="仿宋_GB2312" w:hAnsi="仿宋_GB2312" w:eastAsia="仿宋_GB2312" w:cs="仿宋_GB2312"/>
          <w:snapToGrid w:val="0"/>
          <w:spacing w:val="0"/>
          <w:sz w:val="28"/>
          <w:szCs w:val="28"/>
        </w:rPr>
      </w:pPr>
      <w:r>
        <w:rPr>
          <w:rFonts w:hint="eastAsia" w:ascii="仿宋_GB2312" w:hAnsi="仿宋_GB2312" w:eastAsia="仿宋_GB2312" w:cs="仿宋_GB2312"/>
          <w:snapToGrid w:val="0"/>
          <w:spacing w:val="0"/>
          <w:sz w:val="28"/>
          <w:szCs w:val="28"/>
        </w:rPr>
        <w:t>优化教师培训体制机制。重</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构教师培训组织体系，积极配合全省三级教师培训组织体系的构建。</w:t>
      </w:r>
      <w:r>
        <w:rPr>
          <w:rFonts w:ascii="仿宋_GB2312" w:hAnsi="仿宋_GB2312" w:eastAsia="仿宋_GB2312" w:cs="仿宋_GB2312"/>
          <w:snapToGrid w:val="0"/>
          <w:color w:val="000000" w:themeColor="text1"/>
          <w:spacing w:val="0"/>
          <w:sz w:val="28"/>
          <w:szCs w:val="28"/>
          <w14:textFill>
            <w14:solidFill>
              <w14:schemeClr w14:val="tx1"/>
            </w14:solidFill>
          </w14:textFill>
        </w:rPr>
        <w:t>统筹市域</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教师培训机构、</w:t>
      </w:r>
      <w:r>
        <w:rPr>
          <w:rFonts w:ascii="仿宋_GB2312" w:hAnsi="仿宋_GB2312" w:eastAsia="仿宋_GB2312" w:cs="仿宋_GB2312"/>
          <w:snapToGrid w:val="0"/>
          <w:color w:val="000000" w:themeColor="text1"/>
          <w:spacing w:val="0"/>
          <w:sz w:val="28"/>
          <w:szCs w:val="28"/>
          <w14:textFill>
            <w14:solidFill>
              <w14:schemeClr w14:val="tx1"/>
            </w14:solidFill>
          </w14:textFill>
        </w:rPr>
        <w:t>教研室、电教馆等的职能和资源，</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建立驻马店市</w:t>
      </w:r>
      <w:r>
        <w:rPr>
          <w:rFonts w:ascii="仿宋_GB2312" w:hAnsi="仿宋_GB2312" w:eastAsia="仿宋_GB2312" w:cs="仿宋_GB2312"/>
          <w:snapToGrid w:val="0"/>
          <w:color w:val="000000" w:themeColor="text1"/>
          <w:spacing w:val="0"/>
          <w:sz w:val="28"/>
          <w:szCs w:val="28"/>
          <w14:textFill>
            <w14:solidFill>
              <w14:schemeClr w14:val="tx1"/>
            </w14:solidFill>
          </w14:textFill>
        </w:rPr>
        <w:t>教师发展中心，各县</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区</w:t>
      </w:r>
      <w:r>
        <w:rPr>
          <w:rFonts w:ascii="仿宋_GB2312" w:hAnsi="仿宋_GB2312" w:eastAsia="仿宋_GB2312" w:cs="仿宋_GB2312"/>
          <w:snapToGrid w:val="0"/>
          <w:color w:val="000000" w:themeColor="text1"/>
          <w:spacing w:val="0"/>
          <w:sz w:val="28"/>
          <w:szCs w:val="28"/>
          <w14:textFill>
            <w14:solidFill>
              <w14:schemeClr w14:val="tx1"/>
            </w14:solidFill>
          </w14:textFill>
        </w:rPr>
        <w:t>成立县</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区</w:t>
      </w:r>
      <w:r>
        <w:rPr>
          <w:rFonts w:ascii="仿宋_GB2312" w:hAnsi="仿宋_GB2312" w:eastAsia="仿宋_GB2312" w:cs="仿宋_GB2312"/>
          <w:snapToGrid w:val="0"/>
          <w:color w:val="000000" w:themeColor="text1"/>
          <w:spacing w:val="0"/>
          <w:sz w:val="28"/>
          <w:szCs w:val="28"/>
          <w14:textFill>
            <w14:solidFill>
              <w14:schemeClr w14:val="tx1"/>
            </w14:solidFill>
          </w14:textFill>
        </w:rPr>
        <w:t>教师发展中心</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明确各自职能和定位。落实《河南省人民政府关于进一步推进义务教育均衡发展促进教育公平的意见》中“市、县两级教师继续教育经常性经费要不低于教职工工资总额的1.5%,有条件的地方可达到2.5%,并纳入预算安排”要求，加大县级教师</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发展中心</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建设，发挥县区教师</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发展中心</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在教师培训中的主力军作用，将教师培训机构专任教师职称晋升纳入中小学专任教师系列。选派中小学校长、幼儿园园长参加任职培训，严格落实校园长持证上岗制度。深入实施“国培”“省培”“市培”等专项计划，加强教师梯队攀升体系建设，培育各级名师、骨干教师。实施中小学班主任素养提升工程，建立健全各级班主任成长体系，配合省中原名师</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名校长培育工程，培育一批我市的实践型教育专家。利用</w:t>
      </w:r>
      <w:r>
        <w:rPr>
          <w:rFonts w:ascii="仿宋_GB2312" w:hAnsi="仿宋_GB2312" w:eastAsia="仿宋_GB2312" w:cs="仿宋_GB2312"/>
          <w:snapToGrid w:val="0"/>
          <w:color w:val="000000" w:themeColor="text1"/>
          <w:spacing w:val="0"/>
          <w:sz w:val="28"/>
          <w:szCs w:val="28"/>
          <w14:textFill>
            <w14:solidFill>
              <w14:schemeClr w14:val="tx1"/>
            </w14:solidFill>
          </w14:textFill>
        </w:rPr>
        <w:t>河南教师网络研修平台资源，建立</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驻马店</w:t>
      </w:r>
      <w:r>
        <w:rPr>
          <w:rFonts w:ascii="仿宋_GB2312" w:hAnsi="仿宋_GB2312" w:eastAsia="仿宋_GB2312" w:cs="仿宋_GB2312"/>
          <w:snapToGrid w:val="0"/>
          <w:color w:val="000000" w:themeColor="text1"/>
          <w:spacing w:val="0"/>
          <w:sz w:val="28"/>
          <w:szCs w:val="28"/>
          <w14:textFill>
            <w14:solidFill>
              <w14:schemeClr w14:val="tx1"/>
            </w14:solidFill>
          </w14:textFill>
        </w:rPr>
        <w:t>市教师网络研修平台，形成线下线上融合的混合动态延伸培训模式</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。加快培养能熟练应用信息技术的新型教师，实现新技术与教育教学深度融合。健全职业院校专业教师到行业企</w:t>
      </w:r>
      <w:r>
        <w:rPr>
          <w:rFonts w:hint="eastAsia" w:ascii="仿宋_GB2312" w:hAnsi="仿宋_GB2312" w:eastAsia="仿宋_GB2312" w:cs="仿宋_GB2312"/>
          <w:snapToGrid w:val="0"/>
          <w:spacing w:val="0"/>
          <w:sz w:val="28"/>
          <w:szCs w:val="28"/>
        </w:rPr>
        <w:t>业实践机制，使专业教师普遍成为“双师型”“一体化”教师。</w:t>
      </w:r>
    </w:p>
    <w:p>
      <w:pPr>
        <w:pStyle w:val="2"/>
        <w:keepNext w:val="0"/>
        <w:keepLines w:val="0"/>
        <w:pageBreakBefore w:val="0"/>
        <w:kinsoku/>
        <w:wordWrap/>
        <w:overflowPunct/>
        <w:topLinePunct w:val="0"/>
        <w:autoSpaceDE/>
        <w:autoSpaceDN/>
        <w:bidi w:val="0"/>
        <w:adjustRightInd/>
        <w:snapToGrid/>
        <w:spacing w:line="540" w:lineRule="exact"/>
        <w:textAlignment w:val="auto"/>
        <w:rPr>
          <w:rFonts w:ascii="仿宋_GB2312" w:hAnsi="仿宋_GB2312" w:eastAsia="仿宋_GB2312" w:cs="仿宋_GB2312"/>
          <w:snapToGrid w:val="0"/>
          <w:spacing w:val="-6"/>
          <w:sz w:val="28"/>
          <w:szCs w:val="28"/>
        </w:rPr>
      </w:pPr>
      <w:r>
        <w:rPr>
          <w:rFonts w:hint="eastAsia" w:ascii="仿宋_GB2312" w:hAnsi="仿宋_GB2312" w:eastAsia="仿宋_GB2312" w:cs="仿宋_GB2312"/>
          <w:snapToGrid w:val="0"/>
          <w:spacing w:val="0"/>
          <w:sz w:val="28"/>
          <w:szCs w:val="28"/>
        </w:rPr>
        <w:t>弥补高层次人才不足短板。坚持引育并举，积极参与“省级教学名师”遴选</w:t>
      </w:r>
      <w:r>
        <w:rPr>
          <w:rFonts w:hint="eastAsia" w:ascii="仿宋_GB2312" w:hAnsi="仿宋_GB2312" w:eastAsia="仿宋_GB2312" w:cs="仿宋_GB2312"/>
          <w:snapToGrid w:val="0"/>
          <w:spacing w:val="0"/>
          <w:sz w:val="28"/>
          <w:szCs w:val="28"/>
          <w:lang w:eastAsia="zh-CN"/>
        </w:rPr>
        <w:t>、</w:t>
      </w:r>
      <w:bookmarkStart w:id="181" w:name="_GoBack"/>
      <w:bookmarkEnd w:id="181"/>
      <w:r>
        <w:rPr>
          <w:rFonts w:hint="eastAsia" w:ascii="仿宋_GB2312" w:hAnsi="仿宋_GB2312" w:eastAsia="仿宋_GB2312" w:cs="仿宋_GB2312"/>
          <w:snapToGrid w:val="0"/>
          <w:spacing w:val="0"/>
          <w:sz w:val="28"/>
          <w:szCs w:val="28"/>
        </w:rPr>
        <w:t>“省青年骨干教师培养计划”，培养建设高素质专业</w:t>
      </w:r>
      <w:r>
        <w:rPr>
          <w:rFonts w:hint="eastAsia" w:ascii="仿宋_GB2312" w:hAnsi="仿宋_GB2312" w:eastAsia="仿宋_GB2312" w:cs="仿宋_GB2312"/>
          <w:snapToGrid w:val="0"/>
          <w:spacing w:val="-6"/>
          <w:sz w:val="28"/>
          <w:szCs w:val="28"/>
        </w:rPr>
        <w:t>化创新型的教师团队。选送优秀教师到“双一流”高校访学和在职研修。</w:t>
      </w:r>
    </w:p>
    <w:p>
      <w:pPr>
        <w:pStyle w:val="2"/>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napToGrid w:val="0"/>
          <w:spacing w:val="0"/>
          <w:sz w:val="28"/>
          <w:szCs w:val="28"/>
        </w:rPr>
      </w:pPr>
      <w:r>
        <w:rPr>
          <w:rFonts w:hint="eastAsia" w:ascii="仿宋_GB2312" w:hAnsi="仿宋_GB2312" w:eastAsia="仿宋_GB2312" w:cs="仿宋_GB2312"/>
          <w:snapToGrid w:val="0"/>
          <w:spacing w:val="0"/>
          <w:sz w:val="28"/>
          <w:szCs w:val="28"/>
        </w:rPr>
        <w:t>建设一支高素质专业化的中小学（幼儿园）教师队伍。实行中小学校长3-6年任期制，开展校长专题培训，提高校长办学治校能力。推进“引领计划”，引进一批全国知名教育专家建立工作室，培养一批具有领军能力的优秀校长和骨干教师，充分发挥名师名校长示范引领作用，建立完善市、县、校三级联动名师名校长工作室机制。每两年开展一次市级名校长评选工作，</w:t>
      </w:r>
      <w:r>
        <w:rPr>
          <w:rFonts w:hint="eastAsia" w:ascii="仿宋_GB2312" w:hAnsi="仿宋_GB2312" w:eastAsia="仿宋_GB2312" w:cs="仿宋_GB2312"/>
          <w:snapToGrid w:val="0"/>
          <w:spacing w:val="0"/>
          <w:sz w:val="28"/>
          <w:szCs w:val="28"/>
          <w:lang w:eastAsia="zh-CN"/>
        </w:rPr>
        <w:t>每次</w:t>
      </w:r>
      <w:r>
        <w:rPr>
          <w:rFonts w:hint="eastAsia" w:ascii="仿宋_GB2312" w:hAnsi="仿宋_GB2312" w:eastAsia="仿宋_GB2312" w:cs="仿宋_GB2312"/>
          <w:snapToGrid w:val="0"/>
          <w:spacing w:val="0"/>
          <w:sz w:val="28"/>
          <w:szCs w:val="28"/>
        </w:rPr>
        <w:t>评选名校长10名</w:t>
      </w:r>
      <w:r>
        <w:rPr>
          <w:rFonts w:hint="eastAsia" w:ascii="仿宋_GB2312" w:hAnsi="仿宋_GB2312" w:eastAsia="仿宋_GB2312" w:cs="仿宋_GB2312"/>
          <w:snapToGrid w:val="0"/>
          <w:spacing w:val="0"/>
          <w:sz w:val="28"/>
          <w:szCs w:val="28"/>
          <w:lang w:eastAsia="zh-CN"/>
        </w:rPr>
        <w:t>；</w:t>
      </w:r>
      <w:r>
        <w:rPr>
          <w:rFonts w:hint="eastAsia" w:ascii="仿宋_GB2312" w:hAnsi="仿宋_GB2312" w:eastAsia="仿宋_GB2312" w:cs="仿宋_GB2312"/>
          <w:snapToGrid w:val="0"/>
          <w:spacing w:val="0"/>
          <w:sz w:val="28"/>
          <w:szCs w:val="28"/>
        </w:rPr>
        <w:t>建立名校长工作室，</w:t>
      </w:r>
      <w:r>
        <w:rPr>
          <w:rFonts w:hint="eastAsia" w:ascii="仿宋_GB2312" w:hAnsi="仿宋_GB2312" w:eastAsia="仿宋_GB2312" w:cs="仿宋_GB2312"/>
          <w:snapToGrid w:val="0"/>
          <w:spacing w:val="0"/>
          <w:sz w:val="28"/>
          <w:szCs w:val="28"/>
          <w:lang w:eastAsia="zh-CN"/>
        </w:rPr>
        <w:t>每</w:t>
      </w:r>
      <w:r>
        <w:rPr>
          <w:rFonts w:hint="eastAsia" w:ascii="仿宋_GB2312" w:hAnsi="仿宋_GB2312" w:eastAsia="仿宋_GB2312" w:cs="仿宋_GB2312"/>
          <w:snapToGrid w:val="0"/>
          <w:spacing w:val="0"/>
          <w:sz w:val="28"/>
          <w:szCs w:val="28"/>
        </w:rPr>
        <w:t>两年遴选培</w:t>
      </w:r>
      <w:r>
        <w:rPr>
          <w:rFonts w:hint="eastAsia" w:ascii="仿宋_GB2312" w:hAnsi="仿宋_GB2312" w:eastAsia="仿宋_GB2312" w:cs="仿宋_GB2312"/>
          <w:snapToGrid w:val="0"/>
          <w:spacing w:val="0"/>
          <w:sz w:val="28"/>
          <w:szCs w:val="28"/>
          <w:lang w:eastAsia="zh-CN"/>
        </w:rPr>
        <w:t>养</w:t>
      </w:r>
      <w:r>
        <w:rPr>
          <w:rFonts w:hint="eastAsia" w:ascii="仿宋_GB2312" w:hAnsi="仿宋_GB2312" w:eastAsia="仿宋_GB2312" w:cs="仿宋_GB2312"/>
          <w:snapToGrid w:val="0"/>
          <w:spacing w:val="0"/>
          <w:sz w:val="28"/>
          <w:szCs w:val="28"/>
          <w:lang w:val="en-US" w:eastAsia="zh-CN"/>
        </w:rPr>
        <w:t>2</w:t>
      </w:r>
      <w:r>
        <w:rPr>
          <w:rFonts w:hint="eastAsia" w:ascii="仿宋_GB2312" w:hAnsi="仿宋_GB2312" w:eastAsia="仿宋_GB2312" w:cs="仿宋_GB2312"/>
          <w:snapToGrid w:val="0"/>
          <w:spacing w:val="0"/>
          <w:sz w:val="28"/>
          <w:szCs w:val="28"/>
        </w:rPr>
        <w:t>0名校长。建立校长遴选储备机制，同时从学校副职和中层中选拔一批优秀年轻干部，采取跟岗、</w:t>
      </w:r>
      <w:r>
        <w:rPr>
          <w:rFonts w:hint="eastAsia" w:ascii="仿宋_GB2312" w:hAnsi="仿宋_GB2312" w:eastAsia="仿宋_GB2312" w:cs="仿宋_GB2312"/>
          <w:snapToGrid w:val="0"/>
          <w:spacing w:val="0"/>
          <w:sz w:val="28"/>
          <w:szCs w:val="28"/>
          <w:lang w:eastAsia="zh-CN"/>
        </w:rPr>
        <w:t>顶岗和到省内外名校挂职锻炼</w:t>
      </w:r>
      <w:r>
        <w:rPr>
          <w:rFonts w:hint="eastAsia" w:ascii="仿宋_GB2312" w:hAnsi="仿宋_GB2312" w:eastAsia="仿宋_GB2312" w:cs="仿宋_GB2312"/>
          <w:snapToGrid w:val="0"/>
          <w:spacing w:val="0"/>
          <w:sz w:val="28"/>
          <w:szCs w:val="28"/>
        </w:rPr>
        <w:t>等形式进行培养。实施班主任能力提升计划和名师工作室建设，</w:t>
      </w:r>
      <w:r>
        <w:rPr>
          <w:rFonts w:hint="eastAsia" w:ascii="仿宋_GB2312" w:hAnsi="仿宋_GB2312" w:eastAsia="仿宋_GB2312" w:cs="仿宋_GB2312"/>
          <w:snapToGrid w:val="0"/>
          <w:spacing w:val="0"/>
          <w:sz w:val="28"/>
          <w:szCs w:val="28"/>
          <w:lang w:eastAsia="zh-CN"/>
        </w:rPr>
        <w:t>到</w:t>
      </w:r>
      <w:r>
        <w:rPr>
          <w:rFonts w:hint="eastAsia" w:ascii="仿宋_GB2312" w:hAnsi="仿宋_GB2312" w:eastAsia="仿宋_GB2312" w:cs="仿宋_GB2312"/>
          <w:snapToGrid w:val="0"/>
          <w:spacing w:val="0"/>
          <w:sz w:val="28"/>
          <w:szCs w:val="28"/>
          <w:lang w:val="en-US" w:eastAsia="zh-CN"/>
        </w:rPr>
        <w:t>2025年</w:t>
      </w:r>
      <w:r>
        <w:rPr>
          <w:rFonts w:hint="eastAsia" w:ascii="仿宋" w:hAnsi="仿宋" w:eastAsia="仿宋" w:cs="仿宋"/>
          <w:snapToGrid w:val="0"/>
          <w:spacing w:val="0"/>
          <w:sz w:val="28"/>
          <w:szCs w:val="28"/>
        </w:rPr>
        <w:t>创建</w:t>
      </w:r>
      <w:r>
        <w:rPr>
          <w:rFonts w:hint="eastAsia" w:ascii="仿宋" w:hAnsi="仿宋" w:eastAsia="仿宋" w:cs="仿宋"/>
          <w:snapToGrid w:val="0"/>
          <w:spacing w:val="0"/>
          <w:sz w:val="28"/>
          <w:szCs w:val="28"/>
          <w:lang w:val="en-US" w:eastAsia="zh-CN"/>
        </w:rPr>
        <w:t>5</w:t>
      </w:r>
      <w:r>
        <w:rPr>
          <w:rFonts w:hint="eastAsia" w:ascii="仿宋" w:hAnsi="仿宋" w:eastAsia="仿宋" w:cs="仿宋"/>
          <w:snapToGrid w:val="0"/>
          <w:spacing w:val="0"/>
          <w:sz w:val="28"/>
          <w:szCs w:val="28"/>
        </w:rPr>
        <w:t>0个市级名班主任工作室和</w:t>
      </w:r>
      <w:r>
        <w:rPr>
          <w:rFonts w:hint="eastAsia" w:ascii="仿宋" w:hAnsi="仿宋" w:eastAsia="仿宋" w:cs="仿宋"/>
          <w:snapToGrid w:val="0"/>
          <w:color w:val="auto"/>
          <w:spacing w:val="0"/>
          <w:sz w:val="28"/>
          <w:szCs w:val="28"/>
          <w:lang w:val="en-US" w:eastAsia="zh-CN"/>
        </w:rPr>
        <w:t>5</w:t>
      </w:r>
      <w:r>
        <w:rPr>
          <w:rFonts w:hint="eastAsia" w:ascii="仿宋" w:hAnsi="仿宋" w:eastAsia="仿宋" w:cs="仿宋"/>
          <w:snapToGrid w:val="0"/>
          <w:color w:val="auto"/>
          <w:spacing w:val="0"/>
          <w:sz w:val="28"/>
          <w:szCs w:val="28"/>
        </w:rPr>
        <w:t>0</w:t>
      </w:r>
      <w:r>
        <w:rPr>
          <w:rFonts w:hint="eastAsia" w:ascii="仿宋" w:hAnsi="仿宋" w:eastAsia="仿宋" w:cs="仿宋"/>
          <w:snapToGrid w:val="0"/>
          <w:spacing w:val="0"/>
          <w:sz w:val="28"/>
          <w:szCs w:val="28"/>
        </w:rPr>
        <w:t>个市级名师工作室。对于评选出的名校长工作室、名班主任工作室和名师工作室，由属地教育行政部门根据情况给予适当资助或者在学校年度公用经费中安排一定资金用于工作室建设</w:t>
      </w:r>
      <w:r>
        <w:rPr>
          <w:rFonts w:hint="eastAsia" w:ascii="仿宋_GB2312" w:hAnsi="仿宋_GB2312" w:eastAsia="仿宋_GB2312" w:cs="仿宋_GB2312"/>
          <w:snapToGrid w:val="0"/>
          <w:spacing w:val="0"/>
          <w:sz w:val="28"/>
          <w:szCs w:val="28"/>
        </w:rPr>
        <w:t>。加强中小学校长培训，重点开展乡村中小学骨干校长培训和名校长研修。加大教师培训力度，完成10万人次的中小学教师轮训、8万人次的中小学教师信息技术应用能力提升工程2.0培训。开展幼儿园教师全员培训，提高幼儿园教师科学保教能力。以农村中心校为基本单位，组织开展网络直播课堂教学应用推广，支持优秀教师主动上好网络直播课，到2025年，网络直播课覆盖到全部有需求的教学点。</w:t>
      </w:r>
    </w:p>
    <w:p>
      <w:pPr>
        <w:pStyle w:val="2"/>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napToGrid w:val="0"/>
          <w:spacing w:val="0"/>
          <w:sz w:val="28"/>
          <w:szCs w:val="28"/>
        </w:rPr>
      </w:pPr>
      <w:r>
        <w:rPr>
          <w:rFonts w:hint="eastAsia" w:ascii="仿宋_GB2312" w:hAnsi="仿宋_GB2312" w:eastAsia="仿宋_GB2312" w:cs="仿宋_GB2312"/>
          <w:snapToGrid w:val="0"/>
          <w:spacing w:val="0"/>
          <w:sz w:val="28"/>
          <w:szCs w:val="28"/>
        </w:rPr>
        <w:t>建设一支高素质双师型的职业院校教师队伍。提升职业院校（含技工学校）教师素质，采取多种方式和途径加强对职业院校教师的培养培训，使“双师型”教师占专业课教师及实习指导教师的比例达到</w:t>
      </w:r>
      <w:r>
        <w:rPr>
          <w:rFonts w:hint="eastAsia" w:ascii="仿宋_GB2312" w:hAnsi="仿宋_GB2312" w:eastAsia="仿宋_GB2312" w:cs="仿宋_GB2312"/>
          <w:snapToGrid w:val="0"/>
          <w:spacing w:val="0"/>
          <w:sz w:val="28"/>
          <w:szCs w:val="28"/>
          <w:lang w:val="en-US" w:eastAsia="zh-CN"/>
        </w:rPr>
        <w:t>6</w:t>
      </w:r>
      <w:r>
        <w:rPr>
          <w:rFonts w:hint="eastAsia" w:ascii="仿宋_GB2312" w:hAnsi="仿宋_GB2312" w:eastAsia="仿宋_GB2312" w:cs="仿宋_GB2312"/>
          <w:snapToGrid w:val="0"/>
          <w:spacing w:val="0"/>
          <w:sz w:val="28"/>
          <w:szCs w:val="28"/>
        </w:rPr>
        <w:t>0%。培养造就一批在省内具有一定知名度的职业教育专家队伍，在全市形成由职业教育教学专家、教学名师、专业带头人构成的中等职业学校教师人才梯次。落实职业院校教师企业实践制度，加强与行业组织和企业的联系，搭建企业优秀生产技术人员和中职学校专业教师互动交流平台，专业课教师每两年进行两个月以上的企业实践，提升教师专业实践能力。定期举办职业院校教师职业技能大赛和教学能力大赛。职业院校要完善教师发展体制机制，足额安排教师培训经费，保障教师专业能力提升。加强高职院校思想政治理论课教师和辅导员队伍建设，确保用3年时间达到国家规定配备标准。</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hAnsi="仿宋_GB2312" w:eastAsia="仿宋_GB2312" w:cs="仿宋_GB2312"/>
          <w:snapToGrid w:val="0"/>
          <w:spacing w:val="0"/>
          <w:sz w:val="28"/>
          <w:szCs w:val="28"/>
        </w:rPr>
      </w:pPr>
      <w:r>
        <w:rPr>
          <w:rFonts w:hint="eastAsia" w:ascii="仿宋_GB2312" w:hAnsi="仿宋_GB2312" w:eastAsia="仿宋_GB2312" w:cs="仿宋_GB2312"/>
          <w:snapToGrid w:val="0"/>
          <w:spacing w:val="0"/>
          <w:sz w:val="28"/>
          <w:szCs w:val="28"/>
        </w:rPr>
        <w:t>建设一支一流的教科研教师队伍。严格按照专业标准和准入条件遴选配备教研员，市、县教研室要按照国家课程方案配齐所有学科和学段的专职教研员，完善学科中心教研组制度。建立市、县教研员全员培训制度，提高教研能力和教学指导水平。优化教研员专业技术岗位比例。市、县教研室可设置正高级专业技术岗位</w:t>
      </w:r>
      <w:r>
        <w:rPr>
          <w:rFonts w:hint="eastAsia" w:ascii="仿宋_GB2312" w:hAnsi="仿宋_GB2312" w:eastAsia="仿宋_GB2312" w:cs="仿宋_GB2312"/>
          <w:snapToGrid w:val="0"/>
          <w:spacing w:val="0"/>
          <w:sz w:val="28"/>
          <w:szCs w:val="28"/>
          <w:lang w:eastAsia="zh-CN"/>
        </w:rPr>
        <w:t>，</w:t>
      </w:r>
      <w:r>
        <w:rPr>
          <w:rFonts w:hint="eastAsia" w:ascii="仿宋_GB2312" w:hAnsi="仿宋_GB2312" w:eastAsia="仿宋_GB2312" w:cs="仿宋_GB2312"/>
          <w:snapToGrid w:val="0"/>
          <w:spacing w:val="0"/>
          <w:sz w:val="28"/>
          <w:szCs w:val="28"/>
        </w:rPr>
        <w:t>充分考虑其特殊职能和工作特点，专业技术高级教师岗位比例原则上不低于70%。建立教研员联系学校制度，教研员每学年到校听评课节数应不少于60节，讲授公开课、示范课次数应不少于2次。建立教研经费保障机制，将教研员培训费用和教研工作活动经费纳入财政预算。完善教研督导考核机制。把教研工作作为地方人民政府履行教育职责的重要内容。</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1"/>
        <w:rPr>
          <w:rFonts w:ascii="楷体" w:hAnsi="楷体" w:eastAsia="楷体" w:cs="楷体"/>
          <w:bCs/>
          <w:snapToGrid w:val="0"/>
          <w:color w:val="000000" w:themeColor="text1"/>
          <w:spacing w:val="0"/>
          <w:sz w:val="30"/>
          <w:szCs w:val="30"/>
          <w14:textFill>
            <w14:solidFill>
              <w14:schemeClr w14:val="tx1"/>
            </w14:solidFill>
          </w14:textFill>
        </w:rPr>
      </w:pPr>
      <w:bookmarkStart w:id="125" w:name="_Toc28346"/>
      <w:bookmarkStart w:id="126" w:name="_Toc16747"/>
      <w:r>
        <w:rPr>
          <w:rFonts w:hint="eastAsia" w:ascii="楷体" w:hAnsi="楷体" w:eastAsia="楷体" w:cs="楷体"/>
          <w:bCs/>
          <w:snapToGrid w:val="0"/>
          <w:color w:val="000000" w:themeColor="text1"/>
          <w:spacing w:val="0"/>
          <w:sz w:val="30"/>
          <w:szCs w:val="30"/>
          <w14:textFill>
            <w14:solidFill>
              <w14:schemeClr w14:val="tx1"/>
            </w14:solidFill>
          </w14:textFill>
        </w:rPr>
        <w:t>（三）完善教师管理体制机制</w:t>
      </w:r>
      <w:bookmarkEnd w:id="125"/>
      <w:bookmarkEnd w:id="126"/>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napToGrid w:val="0"/>
          <w:spacing w:val="0"/>
          <w:sz w:val="28"/>
          <w:szCs w:val="28"/>
        </w:rPr>
      </w:pPr>
      <w:r>
        <w:rPr>
          <w:rFonts w:hint="eastAsia" w:ascii="仿宋_GB2312" w:hAnsi="仿宋_GB2312" w:eastAsia="仿宋_GB2312" w:cs="仿宋_GB2312"/>
          <w:snapToGrid w:val="0"/>
          <w:spacing w:val="0"/>
          <w:sz w:val="28"/>
          <w:szCs w:val="28"/>
        </w:rPr>
        <w:t>创新教师编制管理方式。坚持编制总量挖潜和动态调整，盘活用好现有事业编制资源，优先保障中小学教育需要，通过深化事业单位改革和其他专项改革、行业改革收回的事业编制，优先用于补充中小学教职工编制。按照高考改革和普通高中教学需要，增配现有教师10%以上比例的在编教师或政府购买服务，满足走班教学要求。结合实际优化调整中小学教职工编制结构比例，持续提高教职工编制效能。积极探索员额制试点工作，在高等院校、幼儿园试行“总量调控、实名统计、分类管理、同工同酬”的管理模式。对纳入员额管理的人员，工资待遇按照国家和省规定的事业单位岗位绩效工资制度执行，在岗位聘用、收入分配、职称评聘、管理使用、人员交流、社会保险及职业年金等方面与在编人员同等对待。通过政府购买服务等多种形式支持中小学教育事业，鼓励体育社会组织和专业艺术人才为中小学提供体育、艺术教育服务，多方面满足中小学教育发展需要。深化中小学校后勤服务社会化改革，对适合社会力量提供的工勤服务，在既有预算中统筹考虑所需资金。加大寄宿制学校购买服务力度，着力解决寄宿制学校宿管、食堂、安保等工勤服务及卫生保障问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napToGrid w:val="0"/>
          <w:color w:val="000000" w:themeColor="text1"/>
          <w:spacing w:val="0"/>
          <w:sz w:val="28"/>
          <w:szCs w:val="28"/>
          <w14:textFill>
            <w14:solidFill>
              <w14:schemeClr w14:val="tx1"/>
            </w14:solidFill>
          </w14:textFill>
        </w:rPr>
      </w:pP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健全职业院校教师管理制度机制。完善职业教育教师资格认定制度，在教师资格考试中强化专业教学和实践要求。落实“双师型”教师标准，完善教师招聘、专业技术职务评聘和绩效考核标准。按照职业学校生师比例和结构要求，配齐专业教师。落实教师定期到企业实践的规定，支持企业技术骨干到学校从教，探索固定岗和流动岗相结合、校企互聘兼职的方式，推动师资校企双向流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snapToGrid w:val="0"/>
          <w:color w:val="000000" w:themeColor="text1"/>
          <w:spacing w:val="0"/>
          <w:sz w:val="28"/>
          <w:szCs w:val="28"/>
          <w14:textFill>
            <w14:solidFill>
              <w14:schemeClr w14:val="tx1"/>
            </w14:solidFill>
          </w14:textFill>
        </w:rPr>
      </w:pP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推进高等学校教师人事制度改革。完善高校编制及岗位管理制度，研究制定高校人员总量核定和使用管理办法。健全薪酬分配制度，建立完善以增加知识价值为导向的分配机制。完善教师职称评审机制，建立分类评价标准,提高教学业绩在职称评聘中的比重。推动高校开展职称自主评审。鼓励高校设置辅导员岗位津贴。</w:t>
      </w:r>
    </w:p>
    <w:p>
      <w:pPr>
        <w:pStyle w:val="2"/>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 w:hAnsi="仿宋" w:eastAsia="仿宋"/>
          <w:snapToGrid w:val="0"/>
          <w:spacing w:val="0"/>
          <w:sz w:val="28"/>
          <w:szCs w:val="28"/>
        </w:rPr>
      </w:pPr>
      <w:r>
        <w:rPr>
          <w:rFonts w:hint="eastAsia" w:ascii="仿宋" w:hAnsi="仿宋" w:eastAsia="仿宋"/>
          <w:snapToGrid w:val="0"/>
          <w:spacing w:val="0"/>
          <w:sz w:val="28"/>
          <w:szCs w:val="28"/>
        </w:rPr>
        <w:t>完善中小学教师准入和招聘制度。严格教师准入，提高入职标准，逐步将幼儿园教师学历提升至专科，小学教师学历提升至师范专业专科和非师范专业本科，初中教师学历提升至本科，有条件的县区将普通高中教师学历提升至研究生。建立和完善教师退出机制。</w:t>
      </w:r>
      <w:r>
        <w:rPr>
          <w:rFonts w:hint="eastAsia" w:ascii="仿宋" w:hAnsi="仿宋" w:eastAsia="仿宋" w:cs="仿宋"/>
          <w:snapToGrid w:val="0"/>
          <w:spacing w:val="0"/>
          <w:kern w:val="2"/>
          <w:sz w:val="28"/>
          <w:szCs w:val="28"/>
          <w:lang w:val="en-US" w:eastAsia="zh-CN" w:bidi="ar"/>
        </w:rPr>
        <w:t>完善中小学教师招聘方式，鼓励具备条件的县区结合实际情况，采取面试直接考察的方式公开招聘，强化对入职人员政治素质、思想品德和身心健康的考察，重点考察教师专业素养和职业能力，</w:t>
      </w:r>
      <w:r>
        <w:rPr>
          <w:rFonts w:hint="eastAsia" w:ascii="仿宋" w:hAnsi="仿宋" w:eastAsia="仿宋"/>
          <w:snapToGrid w:val="0"/>
          <w:spacing w:val="0"/>
          <w:sz w:val="28"/>
          <w:szCs w:val="28"/>
        </w:rPr>
        <w:t>按照国家课程改革和开齐开足课程的需要，全面梳理分析短缺学科教师队伍现状，综合考虑教职工编制、自然减员情况，科学制定短缺学科教师补充计划，补足补齐师资短板。</w:t>
      </w:r>
      <w:r>
        <w:rPr>
          <w:rFonts w:hint="eastAsia" w:ascii="仿宋_GB2312" w:hAnsi="仿宋_GB2312" w:eastAsia="仿宋_GB2312" w:cs="仿宋_GB2312"/>
          <w:b w:val="0"/>
          <w:bCs w:val="0"/>
          <w:color w:val="auto"/>
          <w:sz w:val="28"/>
          <w:szCs w:val="28"/>
          <w:u w:val="none"/>
          <w:lang w:eastAsia="zh-CN"/>
        </w:rPr>
        <w:t>实施职业院校兼职教师特聘岗计划，允许职业院校按编制数额</w:t>
      </w:r>
      <w:r>
        <w:rPr>
          <w:rFonts w:hint="eastAsia" w:ascii="仿宋_GB2312" w:hAnsi="仿宋_GB2312" w:eastAsia="仿宋_GB2312" w:cs="仿宋_GB2312"/>
          <w:b w:val="0"/>
          <w:bCs w:val="0"/>
          <w:color w:val="auto"/>
          <w:sz w:val="28"/>
          <w:szCs w:val="28"/>
          <w:u w:val="none"/>
          <w:lang w:val="en-US" w:eastAsia="zh-CN"/>
        </w:rPr>
        <w:t>20%左右的比例自主招聘兼职教师。对职业院校引进兼职教师的，同级财政可统筹资金给予支持。</w:t>
      </w:r>
      <w:r>
        <w:rPr>
          <w:rFonts w:hint="eastAsia" w:ascii="仿宋" w:hAnsi="仿宋" w:eastAsia="仿宋"/>
          <w:snapToGrid w:val="0"/>
          <w:spacing w:val="0"/>
          <w:sz w:val="28"/>
          <w:szCs w:val="28"/>
        </w:rPr>
        <w:t>完善学校会计、校医、实验员等教育辅助岗位设置，所需经费列入单位预算或实行政府购买服务。拓宽学前教育、特殊教育师资补充渠道。</w:t>
      </w:r>
    </w:p>
    <w:p>
      <w:pPr>
        <w:pStyle w:val="2"/>
        <w:keepNext w:val="0"/>
        <w:keepLines w:val="0"/>
        <w:pageBreakBefore w:val="0"/>
        <w:widowControl w:val="0"/>
        <w:numPr>
          <w:ilvl w:val="255"/>
          <w:numId w:val="0"/>
        </w:numPr>
        <w:kinsoku/>
        <w:wordWrap/>
        <w:overflowPunct/>
        <w:topLinePunct w:val="0"/>
        <w:autoSpaceDE/>
        <w:autoSpaceDN/>
        <w:bidi w:val="0"/>
        <w:adjustRightInd/>
        <w:snapToGrid/>
        <w:spacing w:line="520" w:lineRule="exact"/>
        <w:ind w:firstLine="560" w:firstLineChars="200"/>
        <w:textAlignment w:val="auto"/>
        <w:rPr>
          <w:rFonts w:ascii="仿宋" w:hAnsi="仿宋" w:eastAsia="仿宋"/>
          <w:snapToGrid w:val="0"/>
          <w:spacing w:val="0"/>
          <w:sz w:val="28"/>
          <w:szCs w:val="28"/>
        </w:rPr>
      </w:pPr>
      <w:r>
        <w:rPr>
          <w:rFonts w:hint="eastAsia" w:ascii="仿宋" w:hAnsi="仿宋" w:eastAsia="仿宋"/>
          <w:snapToGrid w:val="0"/>
          <w:spacing w:val="0"/>
          <w:sz w:val="28"/>
          <w:szCs w:val="28"/>
        </w:rPr>
        <w:t>完善中小学教师职称和考核评价制度。继续开展职称评审“绿色通道”，援疆、援藏教师完成支教任务，经考核达称职以上等次、符合晋升岗位（不含正高）等级和岗位内部晋升等级条件的，予以优先。学校可根据政策规定自主设岗和动态调岗，实现职称评审与岗位聘用有效衔接。充分考虑教研员岗位专业要求高、指导责任重的特殊性，倾斜设置高级专业技术岗位。完善职称评聘退出机制，</w:t>
      </w:r>
      <w:r>
        <w:rPr>
          <w:rFonts w:hint="eastAsia" w:ascii="仿宋" w:hAnsi="仿宋" w:eastAsia="仿宋"/>
          <w:snapToGrid w:val="0"/>
          <w:spacing w:val="0"/>
          <w:sz w:val="28"/>
          <w:szCs w:val="28"/>
          <w:lang w:eastAsia="zh-CN"/>
        </w:rPr>
        <w:t>加</w:t>
      </w:r>
      <w:r>
        <w:rPr>
          <w:rFonts w:hint="eastAsia" w:ascii="仿宋" w:hAnsi="仿宋" w:eastAsia="仿宋"/>
          <w:snapToGrid w:val="0"/>
          <w:spacing w:val="0"/>
          <w:sz w:val="28"/>
          <w:szCs w:val="28"/>
        </w:rPr>
        <w:t>强聘后管理，激发教师的工作活力。对考核不合格的实行降级或解聘。完善符合中小学教师岗位特点的考核评价指标体系，把教师完成课时量作为参评教师专业技术职务、竞聘教师专业技术岗位和评先树优的必要条件。专任教师课时量达不到省定标准、管理岗位兼职人员课时量低于省定标准三分之二的，不得申报评审教师专业技术职务和聘任教师专业技术岗位。</w:t>
      </w:r>
    </w:p>
    <w:p>
      <w:pPr>
        <w:pStyle w:val="2"/>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snapToGrid w:val="0"/>
          <w:spacing w:val="0"/>
          <w:sz w:val="28"/>
          <w:szCs w:val="28"/>
        </w:rPr>
      </w:pPr>
      <w:r>
        <w:rPr>
          <w:rFonts w:hint="eastAsia" w:ascii="仿宋" w:hAnsi="仿宋" w:eastAsia="仿宋"/>
          <w:snapToGrid w:val="0"/>
          <w:spacing w:val="0"/>
          <w:sz w:val="28"/>
          <w:szCs w:val="28"/>
        </w:rPr>
        <w:t>推进义务教育阶段学校教师交流轮岗。</w:t>
      </w:r>
      <w:r>
        <w:rPr>
          <w:rFonts w:hint="eastAsia" w:ascii="仿宋" w:hAnsi="仿宋" w:eastAsia="仿宋"/>
          <w:snapToGrid w:val="0"/>
          <w:spacing w:val="0"/>
          <w:sz w:val="28"/>
          <w:szCs w:val="28"/>
          <w:lang w:eastAsia="zh-CN"/>
        </w:rPr>
        <w:t>城镇</w:t>
      </w:r>
      <w:r>
        <w:rPr>
          <w:rFonts w:hint="eastAsia" w:ascii="仿宋" w:hAnsi="仿宋" w:eastAsia="仿宋"/>
          <w:snapToGrid w:val="0"/>
          <w:spacing w:val="0"/>
          <w:sz w:val="28"/>
          <w:szCs w:val="28"/>
        </w:rPr>
        <w:t>学校</w:t>
      </w:r>
      <w:r>
        <w:rPr>
          <w:rFonts w:hint="eastAsia" w:ascii="仿宋" w:hAnsi="仿宋" w:eastAsia="仿宋"/>
          <w:snapToGrid w:val="0"/>
          <w:spacing w:val="0"/>
          <w:sz w:val="28"/>
          <w:szCs w:val="28"/>
          <w:lang w:eastAsia="zh-CN"/>
        </w:rPr>
        <w:t>、优质学校</w:t>
      </w:r>
      <w:r>
        <w:rPr>
          <w:rFonts w:hint="eastAsia" w:ascii="仿宋" w:hAnsi="仿宋" w:eastAsia="仿宋"/>
          <w:snapToGrid w:val="0"/>
          <w:spacing w:val="0"/>
          <w:sz w:val="28"/>
          <w:szCs w:val="28"/>
        </w:rPr>
        <w:t>每学年教师交流轮岗的比例不低于应交流教师总数的10%，其中</w:t>
      </w:r>
      <w:r>
        <w:rPr>
          <w:rFonts w:hint="eastAsia" w:ascii="仿宋" w:hAnsi="仿宋" w:eastAsia="仿宋"/>
          <w:snapToGrid w:val="0"/>
          <w:spacing w:val="0"/>
          <w:sz w:val="28"/>
          <w:szCs w:val="28"/>
          <w:lang w:eastAsia="zh-CN"/>
        </w:rPr>
        <w:t>各级各类名优骨干</w:t>
      </w:r>
      <w:r>
        <w:rPr>
          <w:rFonts w:hint="eastAsia" w:ascii="仿宋" w:hAnsi="仿宋" w:eastAsia="仿宋"/>
          <w:snapToGrid w:val="0"/>
          <w:spacing w:val="0"/>
          <w:sz w:val="28"/>
          <w:szCs w:val="28"/>
        </w:rPr>
        <w:t>教师交流轮岗的比例不低于交流教师总数的20%。完善农村学校和城镇薄弱学校支教制度，县级人民政府要根据实际，落实</w:t>
      </w:r>
      <w:r>
        <w:rPr>
          <w:rFonts w:hint="eastAsia" w:ascii="仿宋" w:hAnsi="仿宋" w:eastAsia="仿宋"/>
          <w:snapToGrid w:val="0"/>
          <w:spacing w:val="0"/>
          <w:sz w:val="28"/>
          <w:szCs w:val="28"/>
          <w:lang w:eastAsia="zh-CN"/>
        </w:rPr>
        <w:t>县</w:t>
      </w:r>
      <w:r>
        <w:rPr>
          <w:rFonts w:hint="eastAsia" w:ascii="仿宋" w:hAnsi="仿宋" w:eastAsia="仿宋"/>
          <w:snapToGrid w:val="0"/>
          <w:spacing w:val="0"/>
          <w:sz w:val="28"/>
          <w:szCs w:val="28"/>
        </w:rPr>
        <w:t>区内短缺学科教师走教制度，制定走教教师财政补助政策。</w:t>
      </w:r>
      <w:bookmarkStart w:id="127" w:name="_Toc18881"/>
      <w:bookmarkStart w:id="128" w:name="_Toc25941"/>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600" w:firstLineChars="200"/>
        <w:textAlignment w:val="auto"/>
        <w:rPr>
          <w:rFonts w:ascii="楷体" w:hAnsi="楷体" w:eastAsia="楷体" w:cs="楷体"/>
          <w:bCs/>
          <w:snapToGrid w:val="0"/>
          <w:color w:val="000000" w:themeColor="text1"/>
          <w:spacing w:val="0"/>
          <w:sz w:val="30"/>
          <w:szCs w:val="30"/>
          <w14:textFill>
            <w14:solidFill>
              <w14:schemeClr w14:val="tx1"/>
            </w14:solidFill>
          </w14:textFill>
        </w:rPr>
      </w:pPr>
      <w:r>
        <w:rPr>
          <w:rFonts w:hint="eastAsia" w:ascii="楷体" w:hAnsi="楷体" w:eastAsia="楷体" w:cs="楷体"/>
          <w:bCs/>
          <w:snapToGrid w:val="0"/>
          <w:color w:val="000000" w:themeColor="text1"/>
          <w:spacing w:val="0"/>
          <w:sz w:val="30"/>
          <w:szCs w:val="30"/>
          <w14:textFill>
            <w14:solidFill>
              <w14:schemeClr w14:val="tx1"/>
            </w14:solidFill>
          </w14:textFill>
        </w:rPr>
        <w:t>（四）着力提升教师地位待遇</w:t>
      </w:r>
      <w:bookmarkEnd w:id="127"/>
      <w:bookmarkEnd w:id="128"/>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hAnsi="仿宋_GB2312" w:eastAsia="仿宋_GB2312" w:cs="仿宋_GB2312"/>
          <w:snapToGrid w:val="0"/>
          <w:color w:val="000000" w:themeColor="text1"/>
          <w:spacing w:val="0"/>
          <w:sz w:val="28"/>
          <w:szCs w:val="28"/>
          <w14:textFill>
            <w14:solidFill>
              <w14:schemeClr w14:val="tx1"/>
            </w14:solidFill>
          </w14:textFill>
        </w:rPr>
      </w:pP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落实中小学教师待遇保障机制。</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按时足额发放教师工资及各项津补贴，把教师工资发放纳入政府年度目标责任考核。</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制定《</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关于进一步提升教师地位和提高</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教师待遇</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的意见</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积极争取资金，</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加快农村教师周转宿舍建设</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和</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农村教师保障性住房建设</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认真落实《河南省中小学教师减负清单》，下大力气为教师减负，让教师能静下心来教书育人。强化舆论引导，大力宣传优秀教师的先进事迹，让全社会广泛理解教师、尊重教师。</w:t>
      </w:r>
    </w:p>
    <w:p>
      <w:pPr>
        <w:pStyle w:val="2"/>
        <w:keepNext w:val="0"/>
        <w:keepLines w:val="0"/>
        <w:pageBreakBefore w:val="0"/>
        <w:widowControl w:val="0"/>
        <w:kinsoku/>
        <w:wordWrap/>
        <w:overflowPunct/>
        <w:topLinePunct w:val="0"/>
        <w:autoSpaceDE/>
        <w:autoSpaceDN/>
        <w:bidi w:val="0"/>
        <w:adjustRightInd/>
        <w:snapToGrid/>
        <w:spacing w:line="520" w:lineRule="exact"/>
        <w:ind w:firstLine="629"/>
        <w:textAlignment w:val="auto"/>
        <w:rPr>
          <w:rFonts w:hint="eastAsia" w:ascii="仿宋_GB2312" w:hAnsi="仿宋_GB2312" w:eastAsia="仿宋_GB2312" w:cs="仿宋_GB2312"/>
          <w:snapToGrid w:val="0"/>
          <w:color w:val="000000" w:themeColor="text1"/>
          <w:spacing w:val="0"/>
          <w:sz w:val="28"/>
          <w:szCs w:val="28"/>
          <w14:textFill>
            <w14:solidFill>
              <w14:schemeClr w14:val="tx1"/>
            </w14:solidFill>
          </w14:textFill>
        </w:rPr>
      </w:pPr>
      <w:r>
        <w:rPr>
          <w:rFonts w:hint="eastAsia" w:ascii="仿宋_GB2312" w:hAnsi="仿宋_GB2312" w:eastAsia="仿宋_GB2312" w:cs="仿宋_GB2312"/>
          <w:snapToGrid w:val="0"/>
          <w:color w:val="auto"/>
          <w:spacing w:val="0"/>
          <w:sz w:val="28"/>
          <w:szCs w:val="28"/>
        </w:rPr>
        <w:t>提升教师社会地位。加大教师表彰奖励力度，大力宣传教师中的</w:t>
      </w:r>
      <w:r>
        <w:rPr>
          <w:rFonts w:hint="eastAsia" w:ascii="仿宋_GB2312" w:hAnsi="仿宋_GB2312" w:eastAsia="仿宋_GB2312" w:cs="仿宋_GB2312"/>
          <w:snapToGrid w:val="0"/>
          <w:color w:val="auto"/>
          <w:spacing w:val="0"/>
          <w:sz w:val="28"/>
          <w:szCs w:val="28"/>
          <w:lang w:eastAsia="zh-CN"/>
        </w:rPr>
        <w:t>“驻马店市优秀教师”和</w:t>
      </w:r>
      <w:r>
        <w:rPr>
          <w:rFonts w:hint="eastAsia" w:ascii="仿宋_GB2312" w:hAnsi="仿宋_GB2312" w:eastAsia="仿宋_GB2312" w:cs="仿宋_GB2312"/>
          <w:snapToGrid w:val="0"/>
          <w:color w:val="auto"/>
          <w:spacing w:val="0"/>
          <w:sz w:val="28"/>
          <w:szCs w:val="28"/>
        </w:rPr>
        <w:t>“</w:t>
      </w:r>
      <w:r>
        <w:rPr>
          <w:rFonts w:hint="eastAsia" w:ascii="仿宋_GB2312" w:hAnsi="仿宋_GB2312" w:eastAsia="仿宋_GB2312" w:cs="仿宋_GB2312"/>
          <w:snapToGrid w:val="0"/>
          <w:color w:val="auto"/>
          <w:spacing w:val="0"/>
          <w:sz w:val="28"/>
          <w:szCs w:val="28"/>
          <w:lang w:eastAsia="zh-CN"/>
        </w:rPr>
        <w:t>天中</w:t>
      </w:r>
      <w:r>
        <w:rPr>
          <w:rFonts w:hint="eastAsia" w:ascii="仿宋_GB2312" w:hAnsi="仿宋_GB2312" w:eastAsia="仿宋_GB2312" w:cs="仿宋_GB2312"/>
          <w:snapToGrid w:val="0"/>
          <w:color w:val="auto"/>
          <w:spacing w:val="0"/>
          <w:sz w:val="28"/>
          <w:szCs w:val="28"/>
        </w:rPr>
        <w:t>最美教师”，</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定期开展特级教师、教学名师、教学质量教学成果评定活动，重点表扬奖励贡献突出的教学一线教师。实施乡村优秀青年教师培养奖励计划，按照有关规定设立乡村教育突出贡献奖，表扬奖励长期在乡村学校从教的优秀教师。</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出台教师出行、就医等方面的优先优惠政策。</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弘扬尊师重教的社会风尚，维护教师职业尊严和合法权益。努力提高教师的政治地位、社会地位、职业地位，让广大教师享有应有的社会声望，安心从教、热心从教。建设现代化学校制度，健全完善教职工代表大会制度，突出教师主体地位，落实教师知情权、参与权、表达权、监督权。</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5"/>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8522" w:type="dxa"/>
            <w:gridSpan w:val="2"/>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pPr>
            <w:r>
              <w:rPr>
                <w:rFonts w:hint="eastAsia" w:ascii="黑体" w:hAnsi="黑体" w:eastAsia="黑体" w:cs="黑体"/>
                <w:b/>
                <w:bCs/>
                <w:sz w:val="32"/>
                <w:szCs w:val="32"/>
              </w:rPr>
              <w:t xml:space="preserve">专栏 </w:t>
            </w:r>
            <w:r>
              <w:rPr>
                <w:rFonts w:hint="eastAsia" w:ascii="黑体" w:hAnsi="黑体" w:eastAsia="黑体" w:cs="黑体"/>
                <w:b/>
                <w:bCs/>
                <w:sz w:val="32"/>
                <w:szCs w:val="32"/>
                <w:lang w:val="en-US" w:eastAsia="zh-CN"/>
              </w:rPr>
              <w:t>7</w:t>
            </w:r>
            <w:r>
              <w:rPr>
                <w:rFonts w:hint="eastAsia" w:ascii="黑体" w:hAnsi="黑体" w:eastAsia="黑体" w:cs="黑体"/>
                <w:b/>
                <w:bCs/>
                <w:sz w:val="32"/>
                <w:szCs w:val="32"/>
              </w:rPr>
              <w:t xml:space="preserve"> 高素质专业化创新型教师队伍建设工程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ascii="楷体" w:hAnsi="楷体" w:eastAsia="楷体" w:cs="楷体"/>
                <w:snapToGrid w:val="0"/>
                <w:color w:val="0000FF"/>
                <w:spacing w:val="0"/>
                <w:sz w:val="24"/>
              </w:rPr>
            </w:pPr>
            <w:r>
              <w:rPr>
                <w:rFonts w:hint="eastAsia" w:ascii="楷体" w:hAnsi="楷体" w:eastAsia="楷体" w:cs="楷体"/>
                <w:snapToGrid w:val="0"/>
                <w:color w:val="000000"/>
                <w:spacing w:val="0"/>
                <w:kern w:val="0"/>
                <w:sz w:val="24"/>
              </w:rPr>
              <w:t>地方公费师范生培养计划</w:t>
            </w:r>
          </w:p>
        </w:tc>
        <w:tc>
          <w:tcPr>
            <w:tcW w:w="6727" w:type="dxa"/>
          </w:tcPr>
          <w:p>
            <w:pPr>
              <w:keepNext w:val="0"/>
              <w:keepLines w:val="0"/>
              <w:pageBreakBefore w:val="0"/>
              <w:widowControl/>
              <w:kinsoku/>
              <w:wordWrap/>
              <w:overflowPunct/>
              <w:topLinePunct w:val="0"/>
              <w:autoSpaceDE/>
              <w:autoSpaceDN/>
              <w:bidi w:val="0"/>
              <w:adjustRightInd/>
              <w:snapToGrid/>
              <w:spacing w:line="320" w:lineRule="exact"/>
              <w:ind w:firstLine="480" w:firstLineChars="200"/>
              <w:jc w:val="both"/>
              <w:textAlignment w:val="auto"/>
              <w:rPr>
                <w:rFonts w:ascii="楷体" w:hAnsi="楷体" w:eastAsia="楷体" w:cs="楷体"/>
                <w:snapToGrid w:val="0"/>
                <w:color w:val="0000FF"/>
                <w:spacing w:val="0"/>
                <w:sz w:val="24"/>
              </w:rPr>
            </w:pPr>
            <w:r>
              <w:rPr>
                <w:rFonts w:hint="eastAsia" w:ascii="楷体" w:hAnsi="楷体" w:eastAsia="楷体" w:cs="楷体"/>
                <w:snapToGrid w:val="0"/>
                <w:spacing w:val="0"/>
                <w:sz w:val="24"/>
              </w:rPr>
              <w:t>充分调研，合理厘定县域需求，每年为农村学校动态定向培养补充不少于2</w:t>
            </w:r>
            <w:r>
              <w:rPr>
                <w:rFonts w:ascii="楷体" w:hAnsi="楷体" w:eastAsia="楷体" w:cs="楷体"/>
                <w:snapToGrid w:val="0"/>
                <w:spacing w:val="0"/>
                <w:sz w:val="24"/>
              </w:rPr>
              <w:t>00</w:t>
            </w:r>
            <w:r>
              <w:rPr>
                <w:rFonts w:hint="eastAsia" w:ascii="楷体" w:hAnsi="楷体" w:eastAsia="楷体" w:cs="楷体"/>
                <w:snapToGrid w:val="0"/>
                <w:spacing w:val="0"/>
                <w:sz w:val="24"/>
              </w:rPr>
              <w:t>名</w:t>
            </w:r>
            <w:r>
              <w:rPr>
                <w:rFonts w:hint="eastAsia" w:ascii="楷体" w:hAnsi="楷体" w:eastAsia="楷体" w:cs="楷体"/>
                <w:snapToGrid w:val="0"/>
                <w:spacing w:val="0"/>
                <w:kern w:val="0"/>
                <w:sz w:val="24"/>
              </w:rPr>
              <w:t>专业化的中小学和特殊教育教师。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95" w:type="dxa"/>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楷体" w:hAnsi="楷体" w:eastAsia="楷体" w:cs="楷体"/>
                <w:snapToGrid w:val="0"/>
                <w:color w:val="000000"/>
                <w:spacing w:val="0"/>
                <w:kern w:val="0"/>
                <w:sz w:val="24"/>
              </w:rPr>
            </w:pPr>
          </w:p>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ascii="楷体" w:hAnsi="楷体" w:eastAsia="楷体" w:cs="楷体"/>
                <w:snapToGrid w:val="0"/>
                <w:color w:val="0000FF"/>
                <w:spacing w:val="0"/>
                <w:sz w:val="24"/>
              </w:rPr>
            </w:pPr>
            <w:r>
              <w:rPr>
                <w:rFonts w:hint="eastAsia" w:ascii="楷体" w:hAnsi="楷体" w:eastAsia="楷体" w:cs="楷体"/>
                <w:snapToGrid w:val="0"/>
                <w:color w:val="000000"/>
                <w:spacing w:val="0"/>
                <w:kern w:val="0"/>
                <w:sz w:val="24"/>
              </w:rPr>
              <w:t>乡村首席教师岗位计划</w:t>
            </w:r>
          </w:p>
        </w:tc>
        <w:tc>
          <w:tcPr>
            <w:tcW w:w="6727" w:type="dxa"/>
          </w:tcPr>
          <w:p>
            <w:pPr>
              <w:keepNext w:val="0"/>
              <w:keepLines w:val="0"/>
              <w:pageBreakBefore w:val="0"/>
              <w:widowControl/>
              <w:kinsoku/>
              <w:wordWrap/>
              <w:overflowPunct/>
              <w:topLinePunct w:val="0"/>
              <w:autoSpaceDE/>
              <w:autoSpaceDN/>
              <w:bidi w:val="0"/>
              <w:adjustRightInd/>
              <w:snapToGrid/>
              <w:spacing w:line="320" w:lineRule="exact"/>
              <w:ind w:firstLine="480" w:firstLineChars="200"/>
              <w:jc w:val="left"/>
              <w:textAlignment w:val="auto"/>
              <w:rPr>
                <w:rFonts w:ascii="楷体" w:hAnsi="楷体" w:eastAsia="楷体" w:cs="楷体"/>
                <w:snapToGrid w:val="0"/>
                <w:color w:val="000000"/>
                <w:spacing w:val="0"/>
                <w:kern w:val="0"/>
                <w:sz w:val="24"/>
              </w:rPr>
            </w:pPr>
            <w:r>
              <w:rPr>
                <w:rFonts w:hint="eastAsia" w:ascii="楷体" w:hAnsi="楷体" w:eastAsia="楷体" w:cs="楷体"/>
                <w:snapToGrid w:val="0"/>
                <w:spacing w:val="0"/>
                <w:sz w:val="24"/>
              </w:rPr>
              <w:t>遴选200名省级乡村首席教师，建立200个省级乡村首席教师工作室。采取“1+10+100”的模式，实现1名乡村首席教师协同指导10名乡村骨干教师，示范引领、辐射带动100名乡村教师的专业发展。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95" w:type="dxa"/>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楷体" w:hAnsi="楷体" w:eastAsia="楷体" w:cs="楷体"/>
                <w:snapToGrid w:val="0"/>
                <w:spacing w:val="0"/>
                <w:sz w:val="24"/>
              </w:rPr>
            </w:pPr>
            <w:r>
              <w:rPr>
                <w:rFonts w:hint="eastAsia" w:ascii="楷体" w:hAnsi="楷体" w:eastAsia="楷体" w:cs="楷体"/>
                <w:snapToGrid w:val="0"/>
                <w:color w:val="000000"/>
                <w:spacing w:val="0"/>
                <w:kern w:val="0"/>
                <w:sz w:val="24"/>
              </w:rPr>
              <w:t>中小学教师梯队攀升体系建</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楷体" w:hAnsi="楷体" w:eastAsia="楷体" w:cs="楷体"/>
                <w:snapToGrid w:val="0"/>
                <w:color w:val="0000FF"/>
                <w:spacing w:val="0"/>
                <w:sz w:val="24"/>
              </w:rPr>
            </w:pPr>
            <w:r>
              <w:rPr>
                <w:rFonts w:hint="eastAsia" w:ascii="楷体" w:hAnsi="楷体" w:eastAsia="楷体" w:cs="楷体"/>
                <w:snapToGrid w:val="0"/>
                <w:color w:val="000000"/>
                <w:spacing w:val="0"/>
                <w:kern w:val="0"/>
                <w:sz w:val="24"/>
              </w:rPr>
              <w:t>设计划</w:t>
            </w:r>
          </w:p>
        </w:tc>
        <w:tc>
          <w:tcPr>
            <w:tcW w:w="6727" w:type="dxa"/>
          </w:tcPr>
          <w:p>
            <w:pPr>
              <w:keepNext w:val="0"/>
              <w:keepLines w:val="0"/>
              <w:pageBreakBefore w:val="0"/>
              <w:widowControl/>
              <w:kinsoku/>
              <w:wordWrap/>
              <w:overflowPunct/>
              <w:topLinePunct w:val="0"/>
              <w:autoSpaceDE/>
              <w:autoSpaceDN/>
              <w:bidi w:val="0"/>
              <w:adjustRightInd/>
              <w:snapToGrid/>
              <w:spacing w:line="320" w:lineRule="exact"/>
              <w:ind w:firstLine="480" w:firstLineChars="200"/>
              <w:jc w:val="left"/>
              <w:textAlignment w:val="auto"/>
              <w:rPr>
                <w:rFonts w:ascii="楷体" w:hAnsi="楷体" w:eastAsia="楷体" w:cs="楷体"/>
                <w:snapToGrid w:val="0"/>
                <w:spacing w:val="0"/>
                <w:kern w:val="0"/>
                <w:sz w:val="24"/>
              </w:rPr>
            </w:pPr>
            <w:r>
              <w:rPr>
                <w:rFonts w:hint="eastAsia" w:ascii="楷体" w:hAnsi="楷体" w:eastAsia="楷体" w:cs="楷体"/>
                <w:snapToGrid w:val="0"/>
                <w:spacing w:val="0"/>
                <w:kern w:val="0"/>
                <w:sz w:val="24"/>
                <w:lang w:eastAsia="zh-CN"/>
              </w:rPr>
              <w:t>培育</w:t>
            </w:r>
            <w:r>
              <w:rPr>
                <w:rFonts w:hint="eastAsia" w:ascii="楷体" w:hAnsi="楷体" w:eastAsia="楷体" w:cs="楷体"/>
                <w:snapToGrid w:val="0"/>
                <w:spacing w:val="0"/>
                <w:kern w:val="0"/>
                <w:sz w:val="24"/>
              </w:rPr>
              <w:t>认定“天中名师”8</w:t>
            </w:r>
            <w:r>
              <w:rPr>
                <w:rFonts w:ascii="楷体" w:hAnsi="楷体" w:eastAsia="楷体" w:cs="楷体"/>
                <w:snapToGrid w:val="0"/>
                <w:spacing w:val="0"/>
                <w:kern w:val="0"/>
                <w:sz w:val="24"/>
              </w:rPr>
              <w:t>0</w:t>
            </w:r>
            <w:r>
              <w:rPr>
                <w:rFonts w:hint="eastAsia" w:ascii="楷体" w:hAnsi="楷体" w:eastAsia="楷体" w:cs="楷体"/>
                <w:snapToGrid w:val="0"/>
                <w:spacing w:val="0"/>
                <w:kern w:val="0"/>
                <w:sz w:val="24"/>
              </w:rPr>
              <w:t>名，市级名师</w:t>
            </w:r>
            <w:r>
              <w:rPr>
                <w:rFonts w:ascii="楷体" w:hAnsi="楷体" w:eastAsia="楷体" w:cs="楷体"/>
                <w:snapToGrid w:val="0"/>
                <w:spacing w:val="0"/>
                <w:kern w:val="0"/>
                <w:sz w:val="24"/>
              </w:rPr>
              <w:t>300</w:t>
            </w:r>
            <w:r>
              <w:rPr>
                <w:rFonts w:hint="eastAsia" w:ascii="楷体" w:hAnsi="楷体" w:eastAsia="楷体" w:cs="楷体"/>
                <w:snapToGrid w:val="0"/>
                <w:spacing w:val="0"/>
                <w:kern w:val="0"/>
                <w:sz w:val="24"/>
              </w:rPr>
              <w:t>名，市级骨干教师</w:t>
            </w:r>
            <w:r>
              <w:rPr>
                <w:rFonts w:ascii="楷体" w:hAnsi="楷体" w:eastAsia="楷体" w:cs="楷体"/>
                <w:snapToGrid w:val="0"/>
                <w:spacing w:val="0"/>
                <w:kern w:val="0"/>
                <w:sz w:val="24"/>
              </w:rPr>
              <w:t>2000</w:t>
            </w:r>
            <w:r>
              <w:rPr>
                <w:rFonts w:hint="eastAsia" w:ascii="楷体" w:hAnsi="楷体" w:eastAsia="楷体" w:cs="楷体"/>
                <w:snapToGrid w:val="0"/>
                <w:spacing w:val="0"/>
                <w:kern w:val="0"/>
                <w:sz w:val="24"/>
              </w:rPr>
              <w:t>名；建立20个市级名师工作室。落实“师带徒、校带校”项目制度。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楷体" w:hAnsi="楷体" w:eastAsia="楷体" w:cs="楷体"/>
                <w:snapToGrid w:val="0"/>
                <w:color w:val="0000FF"/>
                <w:spacing w:val="0"/>
                <w:sz w:val="24"/>
              </w:rPr>
            </w:pPr>
            <w:r>
              <w:rPr>
                <w:rFonts w:hint="eastAsia" w:ascii="楷体" w:hAnsi="楷体" w:eastAsia="楷体" w:cs="楷体"/>
                <w:snapToGrid w:val="0"/>
                <w:color w:val="000000"/>
                <w:spacing w:val="0"/>
                <w:kern w:val="0"/>
                <w:sz w:val="24"/>
              </w:rPr>
              <w:t>“双师型”职教教师队伍建设工程</w:t>
            </w:r>
          </w:p>
        </w:tc>
        <w:tc>
          <w:tcPr>
            <w:tcW w:w="6727" w:type="dxa"/>
          </w:tcPr>
          <w:p>
            <w:pPr>
              <w:keepNext w:val="0"/>
              <w:keepLines w:val="0"/>
              <w:pageBreakBefore w:val="0"/>
              <w:widowControl/>
              <w:kinsoku/>
              <w:wordWrap/>
              <w:overflowPunct/>
              <w:topLinePunct w:val="0"/>
              <w:autoSpaceDE/>
              <w:autoSpaceDN/>
              <w:bidi w:val="0"/>
              <w:adjustRightInd/>
              <w:snapToGrid/>
              <w:spacing w:line="320" w:lineRule="exact"/>
              <w:ind w:firstLine="480" w:firstLineChars="200"/>
              <w:jc w:val="left"/>
              <w:textAlignment w:val="auto"/>
              <w:rPr>
                <w:rFonts w:ascii="楷体" w:hAnsi="楷体" w:eastAsia="楷体" w:cs="楷体"/>
                <w:snapToGrid w:val="0"/>
                <w:color w:val="0000FF"/>
                <w:spacing w:val="0"/>
                <w:sz w:val="24"/>
              </w:rPr>
            </w:pPr>
            <w:r>
              <w:rPr>
                <w:rFonts w:hint="eastAsia" w:ascii="楷体" w:hAnsi="楷体" w:eastAsia="楷体" w:cs="楷体"/>
                <w:b w:val="0"/>
                <w:bCs w:val="0"/>
                <w:snapToGrid w:val="0"/>
                <w:color w:val="auto"/>
                <w:spacing w:val="0"/>
                <w:kern w:val="0"/>
                <w:sz w:val="24"/>
              </w:rPr>
              <w:t>建设</w:t>
            </w:r>
            <w:r>
              <w:rPr>
                <w:rFonts w:hint="eastAsia" w:ascii="楷体" w:hAnsi="楷体" w:eastAsia="楷体" w:cs="楷体"/>
                <w:b w:val="0"/>
                <w:bCs w:val="0"/>
                <w:snapToGrid w:val="0"/>
                <w:color w:val="auto"/>
                <w:spacing w:val="0"/>
                <w:kern w:val="0"/>
                <w:sz w:val="24"/>
                <w:lang w:val="en-US" w:eastAsia="zh-CN"/>
              </w:rPr>
              <w:t>1-2</w:t>
            </w:r>
            <w:r>
              <w:rPr>
                <w:rFonts w:hint="eastAsia" w:ascii="楷体" w:hAnsi="楷体" w:eastAsia="楷体" w:cs="楷体"/>
                <w:b w:val="0"/>
                <w:bCs w:val="0"/>
                <w:snapToGrid w:val="0"/>
                <w:color w:val="auto"/>
                <w:spacing w:val="0"/>
                <w:kern w:val="0"/>
                <w:sz w:val="24"/>
              </w:rPr>
              <w:t>个市级</w:t>
            </w:r>
            <w:r>
              <w:rPr>
                <w:rFonts w:hint="eastAsia" w:ascii="楷体" w:hAnsi="楷体" w:eastAsia="楷体" w:cs="楷体"/>
                <w:b w:val="0"/>
                <w:bCs w:val="0"/>
                <w:snapToGrid w:val="0"/>
                <w:color w:val="auto"/>
                <w:spacing w:val="0"/>
                <w:kern w:val="0"/>
                <w:sz w:val="24"/>
                <w:lang w:val="en-US" w:eastAsia="zh-CN"/>
              </w:rPr>
              <w:t>职业学校</w:t>
            </w:r>
            <w:r>
              <w:rPr>
                <w:rFonts w:hint="eastAsia" w:ascii="楷体" w:hAnsi="楷体" w:eastAsia="楷体" w:cs="楷体"/>
                <w:b w:val="0"/>
                <w:bCs w:val="0"/>
                <w:snapToGrid w:val="0"/>
                <w:color w:val="auto"/>
                <w:spacing w:val="0"/>
                <w:kern w:val="0"/>
                <w:sz w:val="24"/>
              </w:rPr>
              <w:t>教师培训基地</w:t>
            </w:r>
            <w:r>
              <w:rPr>
                <w:rFonts w:hint="eastAsia" w:ascii="楷体" w:hAnsi="楷体" w:eastAsia="楷体" w:cs="楷体"/>
                <w:b w:val="0"/>
                <w:bCs w:val="0"/>
                <w:snapToGrid w:val="0"/>
                <w:color w:val="auto"/>
                <w:spacing w:val="0"/>
                <w:kern w:val="0"/>
                <w:sz w:val="24"/>
                <w:lang w:eastAsia="zh-CN"/>
              </w:rPr>
              <w:t>。</w:t>
            </w:r>
            <w:r>
              <w:rPr>
                <w:rFonts w:hint="eastAsia" w:ascii="楷体" w:hAnsi="楷体" w:eastAsia="楷体" w:cs="楷体"/>
                <w:b w:val="0"/>
                <w:bCs w:val="0"/>
                <w:snapToGrid w:val="0"/>
                <w:color w:val="auto"/>
                <w:spacing w:val="0"/>
                <w:kern w:val="0"/>
                <w:sz w:val="24"/>
                <w:lang w:val="en-US" w:eastAsia="zh-CN"/>
              </w:rPr>
              <w:t>力争创建1</w:t>
            </w:r>
            <w:r>
              <w:rPr>
                <w:rFonts w:hint="eastAsia" w:ascii="楷体" w:hAnsi="楷体" w:eastAsia="楷体" w:cs="楷体"/>
                <w:b w:val="0"/>
                <w:bCs w:val="0"/>
                <w:snapToGrid w:val="0"/>
                <w:color w:val="auto"/>
                <w:spacing w:val="0"/>
                <w:kern w:val="0"/>
                <w:sz w:val="24"/>
              </w:rPr>
              <w:t>0个</w:t>
            </w:r>
            <w:r>
              <w:rPr>
                <w:rFonts w:hint="eastAsia" w:ascii="楷体" w:hAnsi="楷体" w:eastAsia="楷体" w:cs="楷体"/>
                <w:b w:val="0"/>
                <w:bCs w:val="0"/>
                <w:snapToGrid w:val="0"/>
                <w:color w:val="auto"/>
                <w:spacing w:val="0"/>
                <w:kern w:val="0"/>
                <w:sz w:val="24"/>
                <w:lang w:val="en-US" w:eastAsia="zh-CN"/>
              </w:rPr>
              <w:t>省</w:t>
            </w:r>
            <w:r>
              <w:rPr>
                <w:rFonts w:hint="eastAsia" w:ascii="楷体" w:hAnsi="楷体" w:eastAsia="楷体" w:cs="楷体"/>
                <w:b w:val="0"/>
                <w:bCs w:val="0"/>
                <w:snapToGrid w:val="0"/>
                <w:color w:val="auto"/>
                <w:spacing w:val="0"/>
                <w:kern w:val="0"/>
                <w:sz w:val="24"/>
              </w:rPr>
              <w:t>级职业院校“双师型”名师工作室</w:t>
            </w:r>
            <w:r>
              <w:rPr>
                <w:rFonts w:hint="eastAsia" w:ascii="楷体" w:hAnsi="楷体" w:eastAsia="楷体" w:cs="楷体"/>
                <w:b w:val="0"/>
                <w:bCs w:val="0"/>
                <w:snapToGrid w:val="0"/>
                <w:color w:val="auto"/>
                <w:spacing w:val="0"/>
                <w:kern w:val="0"/>
                <w:sz w:val="24"/>
                <w:lang w:eastAsia="zh-CN"/>
              </w:rPr>
              <w:t>、</w:t>
            </w:r>
            <w:r>
              <w:rPr>
                <w:rFonts w:hint="eastAsia" w:ascii="楷体" w:hAnsi="楷体" w:eastAsia="楷体" w:cs="楷体"/>
                <w:b w:val="0"/>
                <w:bCs w:val="0"/>
                <w:snapToGrid w:val="0"/>
                <w:color w:val="auto"/>
                <w:spacing w:val="0"/>
                <w:kern w:val="0"/>
                <w:sz w:val="24"/>
                <w:lang w:val="en-US" w:eastAsia="zh-CN"/>
              </w:rPr>
              <w:t>10个省级技艺技能传承创新平台，</w:t>
            </w:r>
            <w:r>
              <w:rPr>
                <w:rFonts w:hint="eastAsia" w:ascii="楷体" w:hAnsi="楷体" w:eastAsia="楷体" w:cs="楷体"/>
                <w:b w:val="0"/>
                <w:bCs w:val="0"/>
                <w:snapToGrid w:val="0"/>
                <w:color w:val="auto"/>
                <w:spacing w:val="0"/>
                <w:kern w:val="0"/>
                <w:sz w:val="24"/>
              </w:rPr>
              <w:t>培育认定</w:t>
            </w:r>
            <w:r>
              <w:rPr>
                <w:rFonts w:hint="eastAsia" w:ascii="楷体" w:hAnsi="楷体" w:eastAsia="楷体" w:cs="楷体"/>
                <w:b w:val="0"/>
                <w:bCs w:val="0"/>
                <w:snapToGrid w:val="0"/>
                <w:color w:val="auto"/>
                <w:spacing w:val="0"/>
                <w:kern w:val="0"/>
                <w:sz w:val="24"/>
                <w:lang w:val="en-US" w:eastAsia="zh-CN"/>
              </w:rPr>
              <w:t>10</w:t>
            </w:r>
            <w:r>
              <w:rPr>
                <w:rFonts w:hint="eastAsia" w:ascii="楷体" w:hAnsi="楷体" w:eastAsia="楷体" w:cs="楷体"/>
                <w:b w:val="0"/>
                <w:bCs w:val="0"/>
                <w:snapToGrid w:val="0"/>
                <w:color w:val="auto"/>
                <w:spacing w:val="0"/>
                <w:kern w:val="0"/>
                <w:sz w:val="24"/>
              </w:rPr>
              <w:t>个</w:t>
            </w:r>
            <w:r>
              <w:rPr>
                <w:rFonts w:hint="eastAsia" w:ascii="楷体" w:hAnsi="楷体" w:eastAsia="楷体" w:cs="楷体"/>
                <w:b w:val="0"/>
                <w:bCs w:val="0"/>
                <w:snapToGrid w:val="0"/>
                <w:color w:val="auto"/>
                <w:spacing w:val="0"/>
                <w:kern w:val="0"/>
                <w:sz w:val="24"/>
                <w:lang w:val="en-US" w:eastAsia="zh-CN"/>
              </w:rPr>
              <w:t>省</w:t>
            </w:r>
            <w:r>
              <w:rPr>
                <w:rFonts w:hint="eastAsia" w:ascii="楷体" w:hAnsi="楷体" w:eastAsia="楷体" w:cs="楷体"/>
                <w:b w:val="0"/>
                <w:bCs w:val="0"/>
                <w:snapToGrid w:val="0"/>
                <w:color w:val="auto"/>
                <w:spacing w:val="0"/>
                <w:kern w:val="0"/>
                <w:sz w:val="24"/>
              </w:rPr>
              <w:t>级职业院校教师教学创新团队。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1795" w:type="dxa"/>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ascii="楷体" w:hAnsi="楷体" w:eastAsia="楷体" w:cs="楷体"/>
                <w:snapToGrid w:val="0"/>
                <w:spacing w:val="0"/>
                <w:sz w:val="24"/>
              </w:rPr>
            </w:pPr>
            <w:r>
              <w:rPr>
                <w:rFonts w:hint="eastAsia" w:ascii="楷体" w:hAnsi="楷体" w:eastAsia="楷体" w:cs="楷体"/>
                <w:snapToGrid w:val="0"/>
                <w:color w:val="000000"/>
                <w:spacing w:val="0"/>
                <w:kern w:val="0"/>
                <w:sz w:val="24"/>
              </w:rPr>
              <w:t>本科高校高水平师资队伍建</w:t>
            </w:r>
          </w:p>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ascii="楷体" w:hAnsi="楷体" w:eastAsia="楷体" w:cs="楷体"/>
                <w:snapToGrid w:val="0"/>
                <w:spacing w:val="0"/>
                <w:sz w:val="24"/>
              </w:rPr>
            </w:pPr>
            <w:r>
              <w:rPr>
                <w:rFonts w:hint="eastAsia" w:ascii="楷体" w:hAnsi="楷体" w:eastAsia="楷体" w:cs="楷体"/>
                <w:snapToGrid w:val="0"/>
                <w:color w:val="000000"/>
                <w:spacing w:val="0"/>
                <w:kern w:val="0"/>
                <w:sz w:val="24"/>
              </w:rPr>
              <w:t>设工程</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楷体" w:hAnsi="楷体" w:eastAsia="楷体" w:cs="楷体"/>
                <w:snapToGrid w:val="0"/>
                <w:color w:val="000000"/>
                <w:spacing w:val="0"/>
                <w:kern w:val="0"/>
                <w:sz w:val="24"/>
              </w:rPr>
            </w:pPr>
          </w:p>
        </w:tc>
        <w:tc>
          <w:tcPr>
            <w:tcW w:w="6727" w:type="dxa"/>
          </w:tcPr>
          <w:p>
            <w:pPr>
              <w:keepNext w:val="0"/>
              <w:keepLines w:val="0"/>
              <w:pageBreakBefore w:val="0"/>
              <w:widowControl/>
              <w:kinsoku/>
              <w:wordWrap/>
              <w:overflowPunct/>
              <w:topLinePunct w:val="0"/>
              <w:autoSpaceDE/>
              <w:autoSpaceDN/>
              <w:bidi w:val="0"/>
              <w:adjustRightInd/>
              <w:snapToGrid/>
              <w:spacing w:line="320" w:lineRule="exact"/>
              <w:ind w:firstLine="480" w:firstLineChars="200"/>
              <w:jc w:val="left"/>
              <w:textAlignment w:val="auto"/>
              <w:rPr>
                <w:rFonts w:ascii="楷体" w:hAnsi="楷体" w:eastAsia="楷体" w:cs="楷体"/>
                <w:snapToGrid w:val="0"/>
                <w:color w:val="000000"/>
                <w:spacing w:val="0"/>
                <w:kern w:val="0"/>
                <w:sz w:val="24"/>
              </w:rPr>
            </w:pPr>
            <w:r>
              <w:rPr>
                <w:rFonts w:hint="eastAsia" w:ascii="楷体" w:hAnsi="楷体" w:eastAsia="楷体" w:cs="楷体"/>
                <w:snapToGrid w:val="0"/>
                <w:color w:val="000000"/>
                <w:spacing w:val="0"/>
                <w:kern w:val="0"/>
                <w:sz w:val="24"/>
              </w:rPr>
              <w:t>每年重点支持3个名师工作室、选拔50名青年骨干教师重点培养。积极参加河南省高校教师示范培训、河南省高校教师课堂教学竞赛。建设1所高校教师发展中心。建设20个优秀基层教学组织，选树10名潜心教书育人的教学名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楷体" w:hAnsi="楷体" w:eastAsia="楷体" w:cs="楷体"/>
                <w:snapToGrid w:val="0"/>
                <w:color w:val="auto"/>
                <w:spacing w:val="0"/>
                <w:kern w:val="0"/>
                <w:sz w:val="24"/>
              </w:rPr>
            </w:pP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楷体" w:hAnsi="楷体" w:eastAsia="楷体" w:cs="楷体"/>
                <w:snapToGrid w:val="0"/>
                <w:color w:val="auto"/>
                <w:spacing w:val="0"/>
                <w:kern w:val="0"/>
                <w:sz w:val="24"/>
              </w:rPr>
            </w:pPr>
          </w:p>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ascii="楷体" w:hAnsi="楷体" w:eastAsia="楷体" w:cs="楷体"/>
                <w:snapToGrid w:val="0"/>
                <w:color w:val="auto"/>
                <w:spacing w:val="0"/>
                <w:sz w:val="24"/>
              </w:rPr>
            </w:pPr>
            <w:r>
              <w:rPr>
                <w:rFonts w:hint="eastAsia" w:ascii="楷体" w:hAnsi="楷体" w:eastAsia="楷体" w:cs="楷体"/>
                <w:snapToGrid w:val="0"/>
                <w:color w:val="auto"/>
                <w:spacing w:val="0"/>
                <w:kern w:val="0"/>
                <w:sz w:val="24"/>
              </w:rPr>
              <w:t>教师待遇提升行动计划</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楷体" w:hAnsi="楷体" w:eastAsia="楷体" w:cs="楷体"/>
                <w:snapToGrid w:val="0"/>
                <w:color w:val="auto"/>
                <w:spacing w:val="0"/>
                <w:kern w:val="0"/>
                <w:sz w:val="24"/>
              </w:rPr>
            </w:pPr>
          </w:p>
        </w:tc>
        <w:tc>
          <w:tcPr>
            <w:tcW w:w="6727" w:type="dxa"/>
          </w:tcPr>
          <w:p>
            <w:pPr>
              <w:keepNext w:val="0"/>
              <w:keepLines w:val="0"/>
              <w:pageBreakBefore w:val="0"/>
              <w:widowControl/>
              <w:kinsoku/>
              <w:wordWrap/>
              <w:overflowPunct/>
              <w:topLinePunct w:val="0"/>
              <w:autoSpaceDE/>
              <w:autoSpaceDN/>
              <w:bidi w:val="0"/>
              <w:adjustRightInd/>
              <w:snapToGrid/>
              <w:spacing w:line="320" w:lineRule="exact"/>
              <w:ind w:firstLine="480" w:firstLineChars="200"/>
              <w:jc w:val="left"/>
              <w:textAlignment w:val="auto"/>
              <w:rPr>
                <w:rFonts w:ascii="楷体" w:hAnsi="楷体" w:eastAsia="楷体" w:cs="楷体"/>
                <w:snapToGrid w:val="0"/>
                <w:color w:val="auto"/>
                <w:spacing w:val="0"/>
                <w:kern w:val="0"/>
                <w:sz w:val="24"/>
              </w:rPr>
            </w:pPr>
            <w:r>
              <w:rPr>
                <w:rFonts w:hint="eastAsia" w:ascii="楷体" w:hAnsi="楷体" w:eastAsia="楷体" w:cs="楷体"/>
                <w:snapToGrid w:val="0"/>
                <w:color w:val="auto"/>
                <w:spacing w:val="0"/>
                <w:kern w:val="0"/>
                <w:sz w:val="24"/>
              </w:rPr>
              <w:t>实行农村教师生活补助政策，所需资金由省</w:t>
            </w:r>
            <w:r>
              <w:rPr>
                <w:rFonts w:hint="eastAsia" w:ascii="楷体" w:hAnsi="楷体" w:eastAsia="楷体" w:cs="楷体"/>
                <w:snapToGrid w:val="0"/>
                <w:color w:val="auto"/>
                <w:spacing w:val="0"/>
                <w:kern w:val="0"/>
                <w:sz w:val="24"/>
                <w:lang w:eastAsia="zh-CN"/>
              </w:rPr>
              <w:t>、</w:t>
            </w:r>
            <w:r>
              <w:rPr>
                <w:rFonts w:hint="eastAsia" w:ascii="楷体" w:hAnsi="楷体" w:eastAsia="楷体" w:cs="楷体"/>
                <w:snapToGrid w:val="0"/>
                <w:color w:val="auto"/>
                <w:spacing w:val="0"/>
                <w:kern w:val="0"/>
                <w:sz w:val="24"/>
              </w:rPr>
              <w:t>市、县按照财政事权和支出责任分档办法</w:t>
            </w:r>
            <w:r>
              <w:rPr>
                <w:rFonts w:hint="eastAsia" w:ascii="楷体" w:hAnsi="楷体" w:eastAsia="楷体" w:cs="楷体"/>
                <w:snapToGrid w:val="0"/>
                <w:color w:val="auto"/>
                <w:spacing w:val="0"/>
                <w:kern w:val="0"/>
                <w:sz w:val="24"/>
                <w:lang w:eastAsia="zh-CN"/>
              </w:rPr>
              <w:t>及</w:t>
            </w:r>
            <w:r>
              <w:rPr>
                <w:rFonts w:hint="eastAsia" w:ascii="楷体" w:hAnsi="楷体" w:eastAsia="楷体" w:cs="楷体"/>
                <w:snapToGrid w:val="0"/>
                <w:color w:val="auto"/>
                <w:spacing w:val="0"/>
                <w:kern w:val="0"/>
                <w:sz w:val="24"/>
              </w:rPr>
              <w:t>分担比例予以保障。按照每月不低</w:t>
            </w:r>
            <w:r>
              <w:rPr>
                <w:rFonts w:hint="eastAsia" w:ascii="楷体" w:hAnsi="楷体" w:eastAsia="楷体" w:cs="楷体"/>
                <w:snapToGrid w:val="0"/>
                <w:color w:val="auto"/>
                <w:spacing w:val="0"/>
                <w:kern w:val="0"/>
                <w:sz w:val="24"/>
                <w:lang w:eastAsia="zh-CN"/>
              </w:rPr>
              <w:t>于</w:t>
            </w:r>
            <w:r>
              <w:rPr>
                <w:rFonts w:hint="eastAsia" w:ascii="楷体" w:hAnsi="楷体" w:eastAsia="楷体" w:cs="楷体"/>
                <w:snapToGrid w:val="0"/>
                <w:color w:val="auto"/>
                <w:spacing w:val="0"/>
                <w:kern w:val="0"/>
                <w:sz w:val="24"/>
              </w:rPr>
              <w:t>40</w:t>
            </w:r>
            <w:r>
              <w:rPr>
                <w:rFonts w:hint="eastAsia" w:ascii="楷体" w:hAnsi="楷体" w:eastAsia="楷体" w:cs="楷体"/>
                <w:snapToGrid w:val="0"/>
                <w:color w:val="auto"/>
                <w:spacing w:val="0"/>
                <w:kern w:val="0"/>
                <w:sz w:val="24"/>
                <w:lang w:val="en-US" w:eastAsia="zh-CN"/>
              </w:rPr>
              <w:t>0</w:t>
            </w:r>
            <w:r>
              <w:rPr>
                <w:rFonts w:hint="eastAsia" w:ascii="楷体" w:hAnsi="楷体" w:eastAsia="楷体" w:cs="楷体"/>
                <w:snapToGrid w:val="0"/>
                <w:color w:val="auto"/>
                <w:spacing w:val="0"/>
                <w:kern w:val="0"/>
                <w:sz w:val="24"/>
              </w:rPr>
              <w:t>元的标准，对中小学（含中职学校）发放班主任津贴。按照每增加一年教龄增加10元的标准，发放中小学（含中职）教师教龄津贴。实施农村中小学教师周转宿舍和</w:t>
            </w:r>
            <w:r>
              <w:rPr>
                <w:rFonts w:hint="eastAsia" w:ascii="楷体" w:hAnsi="楷体" w:eastAsia="楷体" w:cs="楷体"/>
                <w:snapToGrid w:val="0"/>
                <w:color w:val="auto"/>
                <w:spacing w:val="0"/>
                <w:kern w:val="0"/>
                <w:sz w:val="24"/>
                <w:lang w:eastAsia="zh-CN"/>
              </w:rPr>
              <w:t>保障性</w:t>
            </w:r>
            <w:r>
              <w:rPr>
                <w:rFonts w:hint="eastAsia" w:ascii="楷体" w:hAnsi="楷体" w:eastAsia="楷体" w:cs="楷体"/>
                <w:snapToGrid w:val="0"/>
                <w:color w:val="auto"/>
                <w:spacing w:val="0"/>
                <w:kern w:val="0"/>
                <w:sz w:val="24"/>
              </w:rPr>
              <w:t>住房建设工程，为符合条件的农村教师分别在学校和城镇建设1套周转宿舍和1套</w:t>
            </w:r>
            <w:r>
              <w:rPr>
                <w:rFonts w:hint="eastAsia" w:ascii="楷体" w:hAnsi="楷体" w:eastAsia="楷体" w:cs="楷体"/>
                <w:snapToGrid w:val="0"/>
                <w:color w:val="auto"/>
                <w:spacing w:val="0"/>
                <w:kern w:val="0"/>
                <w:sz w:val="24"/>
                <w:lang w:eastAsia="zh-CN"/>
              </w:rPr>
              <w:t>保障性</w:t>
            </w:r>
            <w:r>
              <w:rPr>
                <w:rFonts w:hint="eastAsia" w:ascii="楷体" w:hAnsi="楷体" w:eastAsia="楷体" w:cs="楷体"/>
                <w:snapToGrid w:val="0"/>
                <w:color w:val="auto"/>
                <w:spacing w:val="0"/>
                <w:kern w:val="0"/>
                <w:sz w:val="24"/>
              </w:rPr>
              <w:t>住房。</w:t>
            </w:r>
          </w:p>
        </w:tc>
      </w:tr>
    </w:tbl>
    <w:p>
      <w:pPr>
        <w:keepNext w:val="0"/>
        <w:keepLines w:val="0"/>
        <w:pageBreakBefore w:val="0"/>
        <w:kinsoku/>
        <w:wordWrap/>
        <w:overflowPunct/>
        <w:topLinePunct w:val="0"/>
        <w:autoSpaceDE/>
        <w:autoSpaceDN/>
        <w:bidi w:val="0"/>
        <w:adjustRightInd/>
        <w:snapToGrid/>
        <w:spacing w:line="520" w:lineRule="exact"/>
        <w:ind w:firstLine="642" w:firstLineChars="200"/>
        <w:textAlignment w:val="auto"/>
        <w:outlineLvl w:val="0"/>
        <w:rPr>
          <w:rFonts w:ascii="黑体" w:hAnsi="黑体" w:eastAsia="黑体" w:cs="黑体"/>
          <w:b/>
          <w:snapToGrid w:val="0"/>
          <w:color w:val="000000" w:themeColor="text1"/>
          <w:spacing w:val="0"/>
          <w:sz w:val="32"/>
          <w:szCs w:val="32"/>
          <w14:textFill>
            <w14:solidFill>
              <w14:schemeClr w14:val="tx1"/>
            </w14:solidFill>
          </w14:textFill>
        </w:rPr>
      </w:pPr>
      <w:bookmarkStart w:id="129" w:name="_Toc24491"/>
      <w:bookmarkStart w:id="130" w:name="_Toc16734"/>
      <w:r>
        <w:rPr>
          <w:rFonts w:hint="eastAsia" w:ascii="黑体" w:hAnsi="黑体" w:eastAsia="黑体" w:cs="黑体"/>
          <w:b/>
          <w:snapToGrid w:val="0"/>
          <w:color w:val="000000" w:themeColor="text1"/>
          <w:spacing w:val="0"/>
          <w:sz w:val="32"/>
          <w:szCs w:val="32"/>
          <w14:textFill>
            <w14:solidFill>
              <w14:schemeClr w14:val="tx1"/>
            </w14:solidFill>
          </w14:textFill>
        </w:rPr>
        <w:t>十一、推动信息化时代的教育创新</w:t>
      </w:r>
      <w:bookmarkEnd w:id="129"/>
      <w:bookmarkEnd w:id="130"/>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ascii="仿宋_GB2312" w:hAnsi="仿宋_GB2312" w:eastAsia="仿宋_GB2312" w:cs="仿宋_GB2312"/>
          <w:snapToGrid w:val="0"/>
          <w:color w:val="000000" w:themeColor="text1"/>
          <w:spacing w:val="0"/>
          <w:sz w:val="28"/>
          <w:szCs w:val="28"/>
          <w14:textFill>
            <w14:solidFill>
              <w14:schemeClr w14:val="tx1"/>
            </w14:solidFill>
          </w14:textFill>
        </w:rPr>
      </w:pP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实施“互联网+教育”行动计划，加快推进信息化创新应用，构建</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互联网+</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条件下的人才培养新模式，发展基于互联网的教育服务，探索信息时代教育治理新模式。统筹推进中小学数字校园建设。依托义务教育薄弱环节改善与能力提升工程，到2025年</w:t>
      </w:r>
      <w:r>
        <w:rPr>
          <w:rFonts w:hint="eastAsia" w:ascii="仿宋_GB2312" w:hAnsi="仿宋_GB2312" w:eastAsia="仿宋_GB2312" w:cs="仿宋_GB2312"/>
          <w:snapToGrid w:val="0"/>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全市中小学信息化基础设施基本完备，</w:t>
      </w:r>
      <w:r>
        <w:rPr>
          <w:rFonts w:hint="eastAsia" w:ascii="仿宋_GB2312" w:hAnsi="仿宋_GB2312" w:eastAsia="仿宋_GB2312" w:cs="仿宋_GB2312"/>
          <w:snapToGrid w:val="0"/>
          <w:color w:val="auto"/>
          <w:spacing w:val="0"/>
          <w:sz w:val="28"/>
          <w:szCs w:val="28"/>
        </w:rPr>
        <w:t>中小学校</w:t>
      </w:r>
      <w:r>
        <w:rPr>
          <w:rFonts w:hint="eastAsia" w:ascii="仿宋_GB2312" w:hAnsi="仿宋_GB2312" w:eastAsia="仿宋_GB2312" w:cs="仿宋_GB2312"/>
          <w:snapToGrid w:val="0"/>
          <w:color w:val="auto"/>
          <w:spacing w:val="0"/>
          <w:sz w:val="28"/>
          <w:szCs w:val="28"/>
          <w:lang w:eastAsia="zh-CN"/>
        </w:rPr>
        <w:t>全部</w:t>
      </w:r>
      <w:r>
        <w:rPr>
          <w:rFonts w:hint="eastAsia" w:ascii="仿宋_GB2312" w:hAnsi="仿宋_GB2312" w:eastAsia="仿宋_GB2312" w:cs="仿宋_GB2312"/>
          <w:snapToGrid w:val="0"/>
          <w:color w:val="auto"/>
          <w:spacing w:val="0"/>
          <w:sz w:val="28"/>
          <w:szCs w:val="28"/>
        </w:rPr>
        <w:t>达到</w:t>
      </w: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《河南省中小学校数字校园评估标准（V2.0）》基本要求，打造15个省级示范性协作共同体，30个市级示范性协作共同体，形成一批教学创新案例。</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outlineLvl w:val="1"/>
        <w:rPr>
          <w:rFonts w:ascii="楷体" w:hAnsi="楷体" w:eastAsia="楷体" w:cs="楷体"/>
          <w:bCs/>
          <w:snapToGrid w:val="0"/>
          <w:color w:val="000000" w:themeColor="text1"/>
          <w:spacing w:val="0"/>
          <w:sz w:val="30"/>
          <w:szCs w:val="30"/>
          <w14:textFill>
            <w14:solidFill>
              <w14:schemeClr w14:val="tx1"/>
            </w14:solidFill>
          </w14:textFill>
        </w:rPr>
      </w:pPr>
      <w:bookmarkStart w:id="131" w:name="_Toc27743"/>
      <w:bookmarkStart w:id="132" w:name="_Toc27557"/>
      <w:r>
        <w:rPr>
          <w:rFonts w:hint="eastAsia" w:ascii="楷体" w:hAnsi="楷体" w:eastAsia="楷体" w:cs="楷体"/>
          <w:bCs/>
          <w:snapToGrid w:val="0"/>
          <w:color w:val="000000" w:themeColor="text1"/>
          <w:spacing w:val="0"/>
          <w:sz w:val="30"/>
          <w:szCs w:val="30"/>
          <w14:textFill>
            <w14:solidFill>
              <w14:schemeClr w14:val="tx1"/>
            </w14:solidFill>
          </w14:textFill>
        </w:rPr>
        <w:t>（一）实施教育新基建工程</w:t>
      </w:r>
      <w:bookmarkEnd w:id="131"/>
      <w:bookmarkEnd w:id="132"/>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ascii="仿宋_GB2312" w:hAnsi="仿宋_GB2312" w:eastAsia="仿宋_GB2312" w:cs="仿宋_GB2312"/>
          <w:snapToGrid w:val="0"/>
          <w:color w:val="auto"/>
          <w:spacing w:val="0"/>
          <w:sz w:val="28"/>
          <w:szCs w:val="28"/>
        </w:rPr>
      </w:pP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加快建设教育新型基础设施。按照国家教育专用网络建设要求，根据分级负责原则，对接河南省教育专网，建成覆盖各级各类学校和教育机构的全市教育专网。巩固学校联网攻坚行动成果，加快学校网络提速扩容。</w:t>
      </w:r>
      <w:r>
        <w:rPr>
          <w:rFonts w:hint="eastAsia" w:ascii="仿宋_GB2312" w:hAnsi="仿宋_GB2312" w:eastAsia="仿宋_GB2312" w:cs="仿宋_GB2312"/>
          <w:snapToGrid w:val="0"/>
          <w:color w:val="auto"/>
          <w:spacing w:val="0"/>
          <w:sz w:val="28"/>
          <w:szCs w:val="28"/>
          <w:lang w:eastAsia="zh-CN"/>
        </w:rPr>
        <w:t>支持各级各类学校开展校园网络全光网改造，推进</w:t>
      </w:r>
      <w:r>
        <w:rPr>
          <w:rFonts w:hint="eastAsia" w:ascii="仿宋_GB2312" w:hAnsi="仿宋_GB2312" w:eastAsia="仿宋_GB2312" w:cs="仿宋_GB2312"/>
          <w:snapToGrid w:val="0"/>
          <w:color w:val="auto"/>
          <w:spacing w:val="0"/>
          <w:sz w:val="28"/>
          <w:szCs w:val="28"/>
          <w:lang w:val="en-US" w:eastAsia="zh-CN"/>
        </w:rPr>
        <w:t>5G网络、IPV6、新一代无线局域网等网络技术的落地应用</w:t>
      </w:r>
      <w:r>
        <w:rPr>
          <w:rFonts w:hint="eastAsia" w:ascii="仿宋_GB2312" w:hAnsi="仿宋_GB2312" w:eastAsia="仿宋_GB2312" w:cs="仿宋_GB2312"/>
          <w:snapToGrid w:val="0"/>
          <w:color w:val="auto"/>
          <w:spacing w:val="0"/>
          <w:sz w:val="28"/>
          <w:szCs w:val="28"/>
        </w:rPr>
        <w:t>，形成泛在、高速、绿色的校园网络。</w:t>
      </w:r>
      <w:r>
        <w:rPr>
          <w:rFonts w:hint="eastAsia" w:ascii="仿宋_GB2312" w:hAnsi="仿宋_GB2312" w:eastAsia="仿宋_GB2312" w:cs="仿宋_GB2312"/>
          <w:snapToGrid w:val="0"/>
          <w:color w:val="auto"/>
          <w:spacing w:val="0"/>
          <w:sz w:val="28"/>
          <w:szCs w:val="28"/>
          <w:lang w:eastAsia="zh-CN"/>
        </w:rPr>
        <w:t>提升普通教室、专业教室和实习实训室数字化教学装备</w:t>
      </w:r>
      <w:r>
        <w:rPr>
          <w:rFonts w:hint="default" w:ascii="仿宋_GB2312" w:hAnsi="仿宋_GB2312" w:eastAsia="仿宋_GB2312" w:cs="仿宋_GB2312"/>
          <w:snapToGrid w:val="0"/>
          <w:color w:val="auto"/>
          <w:spacing w:val="0"/>
          <w:sz w:val="28"/>
          <w:szCs w:val="28"/>
          <w:lang w:val="en-US" w:eastAsia="zh-CN"/>
        </w:rPr>
        <w:t>和宽带网络</w:t>
      </w:r>
      <w:r>
        <w:rPr>
          <w:rFonts w:hint="eastAsia" w:ascii="仿宋_GB2312" w:hAnsi="仿宋_GB2312" w:eastAsia="仿宋_GB2312" w:cs="仿宋_GB2312"/>
          <w:snapToGrid w:val="0"/>
          <w:color w:val="auto"/>
          <w:spacing w:val="0"/>
          <w:sz w:val="28"/>
          <w:szCs w:val="28"/>
          <w:lang w:eastAsia="zh-CN"/>
        </w:rPr>
        <w:t>配置水平，在用教室全部配置多媒体教学设备，信息技术教室能满足课程</w:t>
      </w:r>
      <w:r>
        <w:rPr>
          <w:rFonts w:hint="default" w:ascii="仿宋_GB2312" w:hAnsi="仿宋_GB2312" w:eastAsia="仿宋_GB2312" w:cs="仿宋_GB2312"/>
          <w:snapToGrid w:val="0"/>
          <w:color w:val="auto"/>
          <w:spacing w:val="0"/>
          <w:sz w:val="28"/>
          <w:szCs w:val="28"/>
          <w:lang w:val="en-US" w:eastAsia="zh-CN"/>
        </w:rPr>
        <w:t>开设</w:t>
      </w:r>
      <w:r>
        <w:rPr>
          <w:rFonts w:hint="eastAsia" w:ascii="仿宋_GB2312" w:hAnsi="仿宋_GB2312" w:eastAsia="仿宋_GB2312" w:cs="仿宋_GB2312"/>
          <w:snapToGrid w:val="0"/>
          <w:color w:val="auto"/>
          <w:spacing w:val="0"/>
          <w:sz w:val="28"/>
          <w:szCs w:val="28"/>
          <w:lang w:eastAsia="zh-CN"/>
        </w:rPr>
        <w:t>需求，支持各县区、各学校结合实际情况，为师生配置符合技术标准和教学要求的智能终端，支撑网络条件下个性化的教与学。完善驻马店市教育云服务平台，实现业务协同、数据共享，为教学、管理、服务的全面融合提供支撑。</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outlineLvl w:val="1"/>
        <w:rPr>
          <w:rFonts w:ascii="楷体" w:hAnsi="楷体" w:eastAsia="楷体" w:cs="楷体"/>
          <w:bCs/>
          <w:snapToGrid w:val="0"/>
          <w:color w:val="auto"/>
          <w:spacing w:val="0"/>
          <w:sz w:val="30"/>
          <w:szCs w:val="30"/>
        </w:rPr>
      </w:pPr>
      <w:bookmarkStart w:id="133" w:name="_Toc22133"/>
      <w:bookmarkStart w:id="134" w:name="_Toc10947"/>
      <w:r>
        <w:rPr>
          <w:rFonts w:hint="eastAsia" w:ascii="楷体" w:hAnsi="楷体" w:eastAsia="楷体" w:cs="楷体"/>
          <w:bCs/>
          <w:snapToGrid w:val="0"/>
          <w:color w:val="auto"/>
          <w:spacing w:val="0"/>
          <w:sz w:val="30"/>
          <w:szCs w:val="30"/>
        </w:rPr>
        <w:t>（二）开发应用优质数字教育资源</w:t>
      </w:r>
      <w:bookmarkEnd w:id="133"/>
      <w:bookmarkEnd w:id="134"/>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ascii="仿宋_GB2312" w:hAnsi="仿宋_GB2312" w:eastAsia="仿宋_GB2312" w:cs="仿宋_GB2312"/>
          <w:snapToGrid w:val="0"/>
          <w:color w:val="auto"/>
          <w:spacing w:val="-6"/>
          <w:sz w:val="28"/>
          <w:szCs w:val="28"/>
        </w:rPr>
      </w:pPr>
      <w:r>
        <w:rPr>
          <w:rFonts w:hint="eastAsia" w:ascii="仿宋_GB2312" w:hAnsi="仿宋_GB2312" w:eastAsia="仿宋_GB2312" w:cs="仿宋_GB2312"/>
          <w:snapToGrid w:val="0"/>
          <w:color w:val="auto"/>
          <w:spacing w:val="0"/>
          <w:sz w:val="28"/>
          <w:szCs w:val="28"/>
        </w:rPr>
        <w:t>提升数字教育资源供给能力。以知识目录为纽带，构建中小学线上教育教学资源、职业教育专业教学资源库、高等学校线上一流课程、虚拟仿真实验教学一流课程，推进资源专业化、精品化、体系化。持续落实《教育信息化2.0行动计划》，进一步优化我市教育信息化“云、网、端”架构，积极融入国家和省主导建设的智慧型教学、教研与管理综合服务平台，加大优质教育资源数字化和开放共享。</w:t>
      </w:r>
      <w:r>
        <w:rPr>
          <w:rFonts w:hint="eastAsia" w:ascii="仿宋_GB2312" w:hAnsi="仿宋_GB2312" w:eastAsia="仿宋_GB2312" w:cs="仿宋_GB2312"/>
          <w:snapToGrid w:val="0"/>
          <w:color w:val="auto"/>
          <w:spacing w:val="0"/>
          <w:sz w:val="28"/>
          <w:szCs w:val="28"/>
          <w:lang w:eastAsia="zh-CN"/>
        </w:rPr>
        <w:t>依托省基础教育资源公共服务平台和驻马店教育云服务平台，建设市中小学网络云课堂及专递课堂应用共享平台，汇聚各地专递课堂资源，推进教育名师、名校资源建设与共享。充分利用网络平台，组建网络研修共同体，在线共享名师资源，加快汇集优质教学资源，服务教师、学生使用。多渠道组织实施线上支教活动，</w:t>
      </w:r>
      <w:r>
        <w:rPr>
          <w:rFonts w:hint="eastAsia" w:ascii="仿宋_GB2312" w:hAnsi="仿宋_GB2312" w:eastAsia="仿宋_GB2312" w:cs="仿宋_GB2312"/>
          <w:snapToGrid w:val="0"/>
          <w:color w:val="auto"/>
          <w:spacing w:val="0"/>
          <w:sz w:val="28"/>
          <w:szCs w:val="28"/>
        </w:rPr>
        <w:t>推动优质资源</w:t>
      </w:r>
      <w:r>
        <w:rPr>
          <w:rFonts w:hint="eastAsia" w:ascii="仿宋_GB2312" w:hAnsi="仿宋_GB2312" w:eastAsia="仿宋_GB2312" w:cs="仿宋_GB2312"/>
          <w:snapToGrid w:val="0"/>
          <w:color w:val="auto"/>
          <w:spacing w:val="-6"/>
          <w:sz w:val="28"/>
          <w:szCs w:val="28"/>
        </w:rPr>
        <w:t>向农村、向薄弱学校集聚，支持学校（教学点）开齐开足开好各门课程</w:t>
      </w:r>
      <w:r>
        <w:rPr>
          <w:rFonts w:hint="eastAsia" w:ascii="仿宋_GB2312" w:hAnsi="仿宋_GB2312" w:eastAsia="仿宋_GB2312" w:cs="仿宋_GB2312"/>
          <w:snapToGrid w:val="0"/>
          <w:color w:val="auto"/>
          <w:spacing w:val="-6"/>
          <w:sz w:val="28"/>
          <w:szCs w:val="28"/>
          <w:lang w:eastAsia="zh-CN"/>
        </w:rPr>
        <w:t>，有效促进教育优质发展。</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outlineLvl w:val="1"/>
        <w:rPr>
          <w:rFonts w:ascii="楷体" w:hAnsi="楷体" w:eastAsia="楷体" w:cs="楷体"/>
          <w:bCs/>
          <w:snapToGrid w:val="0"/>
          <w:color w:val="000000" w:themeColor="text1"/>
          <w:spacing w:val="0"/>
          <w:sz w:val="30"/>
          <w:szCs w:val="30"/>
          <w14:textFill>
            <w14:solidFill>
              <w14:schemeClr w14:val="tx1"/>
            </w14:solidFill>
          </w14:textFill>
        </w:rPr>
      </w:pPr>
      <w:bookmarkStart w:id="135" w:name="_Toc10946"/>
      <w:bookmarkStart w:id="136" w:name="_Toc4754"/>
      <w:r>
        <w:rPr>
          <w:rFonts w:hint="eastAsia" w:ascii="楷体" w:hAnsi="楷体" w:eastAsia="楷体" w:cs="楷体"/>
          <w:bCs/>
          <w:snapToGrid w:val="0"/>
          <w:color w:val="000000" w:themeColor="text1"/>
          <w:spacing w:val="0"/>
          <w:sz w:val="30"/>
          <w:szCs w:val="30"/>
          <w14:textFill>
            <w14:solidFill>
              <w14:schemeClr w14:val="tx1"/>
            </w14:solidFill>
          </w14:textFill>
        </w:rPr>
        <w:t>（三）推动信息技术与教育教学深度融合</w:t>
      </w:r>
      <w:bookmarkEnd w:id="135"/>
      <w:bookmarkEnd w:id="136"/>
    </w:p>
    <w:p>
      <w:pPr>
        <w:pStyle w:val="2"/>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snapToGrid w:val="0"/>
          <w:color w:val="auto"/>
          <w:spacing w:val="0"/>
          <w:sz w:val="28"/>
          <w:szCs w:val="28"/>
        </w:rPr>
      </w:pP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加强现代信息技术与教育教学的融合应用。</w:t>
      </w:r>
      <w:r>
        <w:rPr>
          <w:rFonts w:hint="eastAsia" w:ascii="仿宋_GB2312" w:hAnsi="仿宋_GB2312" w:eastAsia="仿宋_GB2312" w:cs="仿宋_GB2312"/>
          <w:snapToGrid w:val="0"/>
          <w:color w:val="auto"/>
          <w:spacing w:val="0"/>
          <w:sz w:val="28"/>
          <w:szCs w:val="28"/>
          <w:lang w:eastAsia="zh-CN"/>
        </w:rPr>
        <w:t>以提升教育教学应用质量和效率为目的，打造网络化、沉浸式、智能化的新型教学模式。通过智慧教学工具的广泛应用，创新智能环境下的教学组织模式，开展常态化的线上线下混合式教学，推广信息技术支持下的走班选课、校际协同等灵活开放的教学组织模式</w:t>
      </w:r>
      <w:r>
        <w:rPr>
          <w:rFonts w:hint="eastAsia" w:ascii="仿宋_GB2312" w:hAnsi="仿宋_GB2312" w:eastAsia="仿宋_GB2312" w:cs="仿宋_GB2312"/>
          <w:snapToGrid w:val="0"/>
          <w:color w:val="auto"/>
          <w:spacing w:val="0"/>
          <w:sz w:val="28"/>
          <w:szCs w:val="28"/>
        </w:rPr>
        <w:t>。完善“专递课堂”“名师课堂”“名校网络课堂”应用支持和服务保障体系，</w:t>
      </w:r>
      <w:r>
        <w:rPr>
          <w:rFonts w:hint="eastAsia" w:ascii="仿宋_GB2312" w:hAnsi="仿宋_GB2312" w:eastAsia="仿宋_GB2312" w:cs="仿宋_GB2312"/>
          <w:snapToGrid w:val="0"/>
          <w:color w:val="auto"/>
          <w:spacing w:val="0"/>
          <w:sz w:val="28"/>
          <w:szCs w:val="28"/>
          <w:lang w:eastAsia="zh-CN"/>
        </w:rPr>
        <w:t>实现“</w:t>
      </w:r>
      <w:r>
        <w:rPr>
          <w:rFonts w:hint="eastAsia" w:ascii="仿宋_GB2312" w:hAnsi="仿宋_GB2312" w:eastAsia="仿宋_GB2312" w:cs="仿宋_GB2312"/>
          <w:snapToGrid w:val="0"/>
          <w:color w:val="auto"/>
          <w:spacing w:val="0"/>
          <w:sz w:val="28"/>
          <w:szCs w:val="28"/>
        </w:rPr>
        <w:t>三个课堂</w:t>
      </w:r>
      <w:r>
        <w:rPr>
          <w:rFonts w:hint="eastAsia" w:ascii="仿宋_GB2312" w:hAnsi="仿宋_GB2312" w:eastAsia="仿宋_GB2312" w:cs="仿宋_GB2312"/>
          <w:snapToGrid w:val="0"/>
          <w:color w:val="auto"/>
          <w:spacing w:val="0"/>
          <w:sz w:val="28"/>
          <w:szCs w:val="28"/>
          <w:lang w:eastAsia="zh-CN"/>
        </w:rPr>
        <w:t>”在中小学校（教学点）的常态化按需应用。以提升一线教师信息化教学能力为根本，贯彻落实教育部《中小学教师信息技术应用能力提升工程</w:t>
      </w:r>
      <w:r>
        <w:rPr>
          <w:rFonts w:hint="eastAsia" w:ascii="仿宋_GB2312" w:hAnsi="仿宋_GB2312" w:eastAsia="仿宋_GB2312" w:cs="仿宋_GB2312"/>
          <w:snapToGrid w:val="0"/>
          <w:color w:val="auto"/>
          <w:spacing w:val="0"/>
          <w:sz w:val="28"/>
          <w:szCs w:val="28"/>
          <w:lang w:val="en-US" w:eastAsia="zh-CN"/>
        </w:rPr>
        <w:t>2.0</w:t>
      </w:r>
      <w:r>
        <w:rPr>
          <w:rFonts w:hint="eastAsia" w:ascii="仿宋_GB2312" w:hAnsi="仿宋_GB2312" w:eastAsia="仿宋_GB2312" w:cs="仿宋_GB2312"/>
          <w:snapToGrid w:val="0"/>
          <w:color w:val="auto"/>
          <w:spacing w:val="0"/>
          <w:sz w:val="28"/>
          <w:szCs w:val="28"/>
          <w:lang w:eastAsia="zh-CN"/>
        </w:rPr>
        <w:t>》的意见，打造具有较高信息素养的新时代高素质教师队伍。高质量开设信息技术课程，提升学生的信息意识、计算思维、数字化学习与创新和信息社会责任等核心素养。加强学生课内外一体化的信息技术知识、技能、应用能力以及信息意识、信息伦理等方面的培育。</w:t>
      </w:r>
    </w:p>
    <w:p>
      <w:pPr>
        <w:pStyle w:val="2"/>
        <w:keepNext w:val="0"/>
        <w:keepLines w:val="0"/>
        <w:pageBreakBefore w:val="0"/>
        <w:kinsoku/>
        <w:wordWrap/>
        <w:overflowPunct/>
        <w:topLinePunct w:val="0"/>
        <w:autoSpaceDE/>
        <w:autoSpaceDN/>
        <w:bidi w:val="0"/>
        <w:adjustRightInd/>
        <w:snapToGrid/>
        <w:spacing w:line="520" w:lineRule="exact"/>
        <w:textAlignment w:val="auto"/>
        <w:outlineLvl w:val="1"/>
        <w:rPr>
          <w:rFonts w:ascii="楷体" w:hAnsi="楷体" w:eastAsia="楷体" w:cs="楷体"/>
          <w:bCs/>
          <w:snapToGrid w:val="0"/>
          <w:color w:val="000000" w:themeColor="text1"/>
          <w:spacing w:val="0"/>
          <w:sz w:val="30"/>
          <w14:textFill>
            <w14:solidFill>
              <w14:schemeClr w14:val="tx1"/>
            </w14:solidFill>
          </w14:textFill>
        </w:rPr>
      </w:pPr>
      <w:bookmarkStart w:id="137" w:name="_Toc3744"/>
      <w:bookmarkStart w:id="138" w:name="_Toc27858"/>
      <w:r>
        <w:rPr>
          <w:rFonts w:hint="eastAsia" w:ascii="楷体" w:hAnsi="楷体" w:eastAsia="楷体" w:cs="楷体"/>
          <w:bCs/>
          <w:snapToGrid w:val="0"/>
          <w:color w:val="000000" w:themeColor="text1"/>
          <w:spacing w:val="0"/>
          <w:sz w:val="30"/>
          <w14:textFill>
            <w14:solidFill>
              <w14:schemeClr w14:val="tx1"/>
            </w14:solidFill>
          </w14:textFill>
        </w:rPr>
        <w:t>（四）推动网络化智能化教育服务</w:t>
      </w:r>
      <w:bookmarkEnd w:id="137"/>
      <w:bookmarkEnd w:id="138"/>
    </w:p>
    <w:p>
      <w:pPr>
        <w:pStyle w:val="2"/>
        <w:keepNext w:val="0"/>
        <w:keepLines w:val="0"/>
        <w:pageBreakBefore w:val="0"/>
        <w:widowControl w:val="0"/>
        <w:kinsoku/>
        <w:wordWrap/>
        <w:overflowPunct/>
        <w:topLinePunct w:val="0"/>
        <w:autoSpaceDE/>
        <w:autoSpaceDN/>
        <w:bidi w:val="0"/>
        <w:adjustRightInd/>
        <w:snapToGrid/>
        <w:spacing w:line="520" w:lineRule="exact"/>
        <w:ind w:firstLine="629"/>
        <w:textAlignment w:val="auto"/>
        <w:rPr>
          <w:rFonts w:ascii="仿宋_GB2312" w:hAnsi="仿宋_GB2312" w:eastAsia="仿宋_GB2312" w:cs="仿宋_GB2312"/>
          <w:snapToGrid w:val="0"/>
          <w:color w:val="000000" w:themeColor="text1"/>
          <w:spacing w:val="0"/>
          <w:sz w:val="28"/>
          <w:szCs w:val="28"/>
          <w14:textFill>
            <w14:solidFill>
              <w14:schemeClr w14:val="tx1"/>
            </w14:solidFill>
          </w14:textFill>
        </w:rPr>
      </w:pP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实施教育治理能力数字化提升工程。加强教育治理信息化的总体设计、标准建设与制度建设，根据河南省教育管理信息系统建设有关要求，推动教育管理信息系统由单个学校的独立建设向省市县三级统筹建设发展，加强信息系统的深度整合和集约管理，融入全省构建的数据资源目录、信息系统名录、服务事项目录。建设基于“一校一码、一人一号”的数字认证互联互通互认体系，实现跨平台的单点登录。坚持以共享为原则、不共享为例外，简化数据共享流程，促进数据有序流动。</w:t>
      </w:r>
    </w:p>
    <w:p>
      <w:pPr>
        <w:pStyle w:val="2"/>
        <w:keepNext w:val="0"/>
        <w:keepLines w:val="0"/>
        <w:pageBreakBefore w:val="0"/>
        <w:widowControl w:val="0"/>
        <w:kinsoku/>
        <w:wordWrap/>
        <w:overflowPunct/>
        <w:topLinePunct w:val="0"/>
        <w:autoSpaceDE/>
        <w:autoSpaceDN/>
        <w:bidi w:val="0"/>
        <w:adjustRightInd/>
        <w:snapToGrid/>
        <w:spacing w:line="520" w:lineRule="exact"/>
        <w:ind w:firstLine="629"/>
        <w:textAlignment w:val="auto"/>
        <w:rPr>
          <w:rFonts w:hint="eastAsia" w:ascii="仿宋_GB2312" w:hAnsi="仿宋_GB2312" w:eastAsia="仿宋_GB2312" w:cs="仿宋_GB2312"/>
          <w:snapToGrid w:val="0"/>
          <w:color w:val="000000" w:themeColor="text1"/>
          <w:spacing w:val="0"/>
          <w:sz w:val="28"/>
          <w:szCs w:val="28"/>
          <w14:textFill>
            <w14:solidFill>
              <w14:schemeClr w14:val="tx1"/>
            </w14:solidFill>
          </w14:textFill>
        </w:rPr>
      </w:pPr>
      <w:r>
        <w:rPr>
          <w:rFonts w:hint="eastAsia" w:ascii="仿宋_GB2312" w:hAnsi="仿宋_GB2312" w:eastAsia="仿宋_GB2312" w:cs="仿宋_GB2312"/>
          <w:snapToGrid w:val="0"/>
          <w:color w:val="000000" w:themeColor="text1"/>
          <w:spacing w:val="0"/>
          <w:sz w:val="28"/>
          <w:szCs w:val="28"/>
          <w14:textFill>
            <w14:solidFill>
              <w14:schemeClr w14:val="tx1"/>
            </w14:solidFill>
          </w14:textFill>
        </w:rPr>
        <w:t>加速教育治理数字化转型。以数据为驱动力，利用新一代信息技术推动教育管理服务网络化、智能化发展。全面梳理面向学校、师生、家长和校友提供的管理服务事项，精简归并不同层级、部门的同类事项，推动管理服务全程网上受理、网上办理和网上反馈，实现“一号申请、一窗受理、一网通办”。推动教育决策由经验驱动向数据驱动转变、教育管理由单向管理向协同治理转变、教育服务由被动响应向主动服务转变，以信息化支撑教育治理体系和治理能力现代化。</w:t>
      </w:r>
    </w:p>
    <w:p>
      <w:pPr>
        <w:pStyle w:val="2"/>
        <w:keepNext w:val="0"/>
        <w:keepLines w:val="0"/>
        <w:pageBreakBefore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napToGrid w:val="0"/>
          <w:color w:val="000000" w:themeColor="text1"/>
          <w:spacing w:val="0"/>
          <w:sz w:val="28"/>
          <w:szCs w:val="28"/>
          <w14:textFill>
            <w14:solidFill>
              <w14:schemeClr w14:val="tx1"/>
            </w14:solidFill>
          </w14:textFill>
        </w:rPr>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1"/>
        <w:gridCol w:w="7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0" w:type="auto"/>
            <w:gridSpan w:val="2"/>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仿宋_GB2312" w:eastAsia="仿宋_GB2312" w:cs="仿宋_GB2312"/>
                <w:snapToGrid w:val="0"/>
                <w:color w:val="0000FF"/>
                <w:spacing w:val="0"/>
                <w:sz w:val="28"/>
                <w:szCs w:val="28"/>
              </w:rPr>
            </w:pPr>
            <w:r>
              <w:rPr>
                <w:rFonts w:hint="eastAsia" w:ascii="黑体" w:hAnsi="黑体" w:eastAsia="黑体" w:cs="黑体"/>
                <w:b/>
                <w:bCs/>
                <w:snapToGrid w:val="0"/>
                <w:color w:val="000000"/>
                <w:spacing w:val="0"/>
                <w:kern w:val="0"/>
                <w:sz w:val="30"/>
                <w:szCs w:val="30"/>
              </w:rPr>
              <w:t>专栏</w:t>
            </w:r>
            <w:r>
              <w:rPr>
                <w:rFonts w:hint="eastAsia" w:ascii="黑体" w:hAnsi="黑体" w:eastAsia="黑体" w:cs="黑体"/>
                <w:b/>
                <w:bCs/>
                <w:snapToGrid w:val="0"/>
                <w:color w:val="000000"/>
                <w:spacing w:val="0"/>
                <w:kern w:val="0"/>
                <w:sz w:val="30"/>
                <w:szCs w:val="30"/>
                <w:lang w:val="en-US" w:eastAsia="zh-CN"/>
              </w:rPr>
              <w:t>8</w:t>
            </w:r>
            <w:r>
              <w:rPr>
                <w:rFonts w:hint="eastAsia" w:ascii="黑体" w:hAnsi="黑体" w:eastAsia="黑体" w:cs="黑体"/>
                <w:b/>
                <w:bCs/>
                <w:snapToGrid w:val="0"/>
                <w:color w:val="000000"/>
                <w:spacing w:val="0"/>
                <w:kern w:val="0"/>
                <w:sz w:val="30"/>
                <w:szCs w:val="30"/>
              </w:rPr>
              <w:t xml:space="preserve"> 智慧教育建设工程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楷体" w:hAnsi="楷体" w:eastAsia="楷体" w:cs="楷体"/>
                <w:snapToGrid w:val="0"/>
                <w:spacing w:val="0"/>
                <w:kern w:val="0"/>
                <w:sz w:val="24"/>
              </w:rPr>
            </w:pP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楷体" w:hAnsi="楷体" w:eastAsia="楷体" w:cs="楷体"/>
                <w:snapToGrid w:val="0"/>
                <w:spacing w:val="0"/>
                <w:sz w:val="24"/>
              </w:rPr>
            </w:pPr>
            <w:r>
              <w:rPr>
                <w:rFonts w:hint="eastAsia" w:ascii="楷体" w:hAnsi="楷体" w:eastAsia="楷体" w:cs="楷体"/>
                <w:snapToGrid w:val="0"/>
                <w:spacing w:val="0"/>
                <w:kern w:val="0"/>
                <w:sz w:val="24"/>
              </w:rPr>
              <w:t>教育新基建工程</w:t>
            </w:r>
          </w:p>
        </w:tc>
        <w:tc>
          <w:tcPr>
            <w:tcW w:w="7081" w:type="dxa"/>
          </w:tcPr>
          <w:p>
            <w:pPr>
              <w:keepNext w:val="0"/>
              <w:keepLines w:val="0"/>
              <w:pageBreakBefore w:val="0"/>
              <w:widowControl/>
              <w:kinsoku/>
              <w:wordWrap/>
              <w:overflowPunct/>
              <w:topLinePunct w:val="0"/>
              <w:autoSpaceDE/>
              <w:autoSpaceDN/>
              <w:bidi w:val="0"/>
              <w:adjustRightInd/>
              <w:snapToGrid/>
              <w:spacing w:line="340" w:lineRule="exact"/>
              <w:ind w:firstLine="480" w:firstLineChars="200"/>
              <w:jc w:val="left"/>
              <w:textAlignment w:val="auto"/>
              <w:rPr>
                <w:rFonts w:ascii="楷体" w:hAnsi="楷体" w:eastAsia="楷体" w:cs="楷体"/>
                <w:snapToGrid w:val="0"/>
                <w:color w:val="auto"/>
                <w:spacing w:val="0"/>
                <w:sz w:val="24"/>
              </w:rPr>
            </w:pPr>
            <w:r>
              <w:rPr>
                <w:rFonts w:hint="eastAsia" w:ascii="楷体" w:hAnsi="楷体" w:eastAsia="楷体" w:cs="楷体"/>
                <w:snapToGrid w:val="0"/>
                <w:color w:val="auto"/>
                <w:spacing w:val="0"/>
                <w:kern w:val="0"/>
                <w:sz w:val="24"/>
              </w:rPr>
              <w:t>根据分级负责原则，在省教育专网的基础上，建成由县</w:t>
            </w:r>
            <w:r>
              <w:rPr>
                <w:rFonts w:hint="eastAsia" w:ascii="楷体" w:hAnsi="楷体" w:eastAsia="楷体" w:cs="楷体"/>
                <w:snapToGrid w:val="0"/>
                <w:color w:val="auto"/>
                <w:spacing w:val="0"/>
                <w:kern w:val="0"/>
                <w:sz w:val="24"/>
                <w:lang w:eastAsia="zh-CN"/>
              </w:rPr>
              <w:t>区</w:t>
            </w:r>
            <w:r>
              <w:rPr>
                <w:rFonts w:hint="eastAsia" w:ascii="楷体" w:hAnsi="楷体" w:eastAsia="楷体" w:cs="楷体"/>
                <w:snapToGrid w:val="0"/>
                <w:color w:val="auto"/>
                <w:spacing w:val="0"/>
                <w:kern w:val="0"/>
                <w:sz w:val="24"/>
              </w:rPr>
              <w:t>教育网和学校校园网组成的市教育专网，覆盖各级各类学校和教育机构。</w:t>
            </w:r>
            <w:r>
              <w:rPr>
                <w:rFonts w:hint="eastAsia" w:ascii="楷体" w:hAnsi="楷体" w:eastAsia="楷体" w:cs="楷体"/>
                <w:snapToGrid w:val="0"/>
                <w:color w:val="auto"/>
                <w:spacing w:val="0"/>
                <w:sz w:val="24"/>
                <w:szCs w:val="24"/>
                <w:lang w:eastAsia="zh-CN"/>
              </w:rPr>
              <w:t>提升普通教室、专业教室和实习实训室数字化教学装备</w:t>
            </w:r>
            <w:r>
              <w:rPr>
                <w:rFonts w:hint="default" w:ascii="楷体" w:hAnsi="楷体" w:eastAsia="楷体" w:cs="楷体"/>
                <w:snapToGrid w:val="0"/>
                <w:color w:val="auto"/>
                <w:spacing w:val="0"/>
                <w:sz w:val="24"/>
                <w:szCs w:val="24"/>
                <w:lang w:val="en-US" w:eastAsia="zh-CN"/>
              </w:rPr>
              <w:t>和宽带网络</w:t>
            </w:r>
            <w:r>
              <w:rPr>
                <w:rFonts w:hint="eastAsia" w:ascii="楷体" w:hAnsi="楷体" w:eastAsia="楷体" w:cs="楷体"/>
                <w:snapToGrid w:val="0"/>
                <w:color w:val="auto"/>
                <w:spacing w:val="0"/>
                <w:sz w:val="24"/>
                <w:szCs w:val="24"/>
                <w:lang w:eastAsia="zh-CN"/>
              </w:rPr>
              <w:t>配置水平，在用教室全部配置多媒体教学设备，信息技术教室能满足课程开始需求</w:t>
            </w:r>
            <w:r>
              <w:rPr>
                <w:rFonts w:hint="eastAsia" w:ascii="楷体" w:hAnsi="楷体" w:eastAsia="楷体" w:cs="楷体"/>
                <w:snapToGrid w:val="0"/>
                <w:color w:val="auto"/>
                <w:spacing w:val="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1441" w:type="dxa"/>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楷体" w:hAnsi="楷体" w:eastAsia="楷体" w:cs="楷体"/>
                <w:snapToGrid w:val="0"/>
                <w:spacing w:val="0"/>
                <w:kern w:val="0"/>
                <w:sz w:val="24"/>
              </w:rPr>
            </w:pP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楷体" w:hAnsi="楷体" w:eastAsia="楷体" w:cs="楷体"/>
                <w:snapToGrid w:val="0"/>
                <w:spacing w:val="0"/>
                <w:sz w:val="24"/>
              </w:rPr>
            </w:pPr>
            <w:r>
              <w:rPr>
                <w:rFonts w:hint="eastAsia" w:ascii="楷体" w:hAnsi="楷体" w:eastAsia="楷体" w:cs="楷体"/>
                <w:snapToGrid w:val="0"/>
                <w:spacing w:val="0"/>
                <w:kern w:val="0"/>
                <w:sz w:val="24"/>
              </w:rPr>
              <w:t>数字学校建设工程</w:t>
            </w:r>
          </w:p>
        </w:tc>
        <w:tc>
          <w:tcPr>
            <w:tcW w:w="7081" w:type="dxa"/>
          </w:tcPr>
          <w:p>
            <w:pPr>
              <w:keepNext w:val="0"/>
              <w:keepLines w:val="0"/>
              <w:pageBreakBefore w:val="0"/>
              <w:widowControl/>
              <w:kinsoku/>
              <w:wordWrap/>
              <w:overflowPunct/>
              <w:topLinePunct w:val="0"/>
              <w:autoSpaceDE/>
              <w:autoSpaceDN/>
              <w:bidi w:val="0"/>
              <w:adjustRightInd/>
              <w:snapToGrid/>
              <w:spacing w:line="340" w:lineRule="exact"/>
              <w:ind w:firstLine="480" w:firstLineChars="200"/>
              <w:jc w:val="left"/>
              <w:textAlignment w:val="auto"/>
              <w:rPr>
                <w:snapToGrid w:val="0"/>
                <w:color w:val="auto"/>
                <w:spacing w:val="0"/>
              </w:rPr>
            </w:pPr>
            <w:r>
              <w:rPr>
                <w:rFonts w:hint="eastAsia" w:ascii="楷体" w:hAnsi="楷体" w:eastAsia="楷体" w:cs="楷体"/>
                <w:snapToGrid w:val="0"/>
                <w:color w:val="auto"/>
                <w:spacing w:val="0"/>
                <w:kern w:val="0"/>
                <w:sz w:val="24"/>
                <w:lang w:eastAsia="zh-CN"/>
              </w:rPr>
              <w:t>利用新一代信息技术，开展教学、科（教）研、公共服务设施的智能化改造，构建可感受的、可交互的、沉浸式的数字化环境。</w:t>
            </w:r>
            <w:r>
              <w:rPr>
                <w:rFonts w:hint="eastAsia" w:ascii="楷体" w:hAnsi="楷体" w:eastAsia="楷体" w:cs="楷体"/>
                <w:snapToGrid w:val="0"/>
                <w:color w:val="auto"/>
                <w:spacing w:val="0"/>
                <w:sz w:val="24"/>
                <w:szCs w:val="24"/>
              </w:rPr>
              <w:t>到2025年</w:t>
            </w:r>
            <w:r>
              <w:rPr>
                <w:rFonts w:hint="eastAsia" w:ascii="楷体" w:hAnsi="楷体" w:eastAsia="楷体" w:cs="楷体"/>
                <w:snapToGrid w:val="0"/>
                <w:color w:val="auto"/>
                <w:spacing w:val="0"/>
                <w:sz w:val="24"/>
                <w:szCs w:val="24"/>
                <w:lang w:eastAsia="zh-CN"/>
              </w:rPr>
              <w:t>，</w:t>
            </w:r>
            <w:r>
              <w:rPr>
                <w:rFonts w:hint="eastAsia" w:ascii="楷体" w:hAnsi="楷体" w:eastAsia="楷体" w:cs="楷体"/>
                <w:snapToGrid w:val="0"/>
                <w:color w:val="auto"/>
                <w:spacing w:val="0"/>
                <w:sz w:val="24"/>
                <w:szCs w:val="24"/>
              </w:rPr>
              <w:t>全市中小学信息化基础设施基本完备，中小学校</w:t>
            </w:r>
            <w:r>
              <w:rPr>
                <w:rFonts w:hint="eastAsia" w:ascii="楷体" w:hAnsi="楷体" w:eastAsia="楷体" w:cs="楷体"/>
                <w:snapToGrid w:val="0"/>
                <w:color w:val="auto"/>
                <w:spacing w:val="0"/>
                <w:sz w:val="24"/>
                <w:szCs w:val="24"/>
                <w:lang w:eastAsia="zh-CN"/>
              </w:rPr>
              <w:t>全部</w:t>
            </w:r>
            <w:r>
              <w:rPr>
                <w:rFonts w:hint="eastAsia" w:ascii="楷体" w:hAnsi="楷体" w:eastAsia="楷体" w:cs="楷体"/>
                <w:snapToGrid w:val="0"/>
                <w:color w:val="auto"/>
                <w:spacing w:val="0"/>
                <w:sz w:val="24"/>
                <w:szCs w:val="24"/>
              </w:rPr>
              <w:t>达到《河南省中小学校数字校园评估标准（V2.0）》基本要求</w:t>
            </w:r>
            <w:r>
              <w:rPr>
                <w:rFonts w:hint="eastAsia" w:ascii="楷体" w:hAnsi="楷体" w:eastAsia="楷体" w:cs="楷体"/>
                <w:snapToGrid w:val="0"/>
                <w:color w:val="auto"/>
                <w:spacing w:val="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trPr>
        <w:tc>
          <w:tcPr>
            <w:tcW w:w="1441" w:type="dxa"/>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楷体" w:hAnsi="楷体" w:eastAsia="楷体" w:cs="楷体"/>
                <w:snapToGrid w:val="0"/>
                <w:spacing w:val="0"/>
                <w:kern w:val="0"/>
                <w:sz w:val="24"/>
              </w:rPr>
            </w:pP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楷体" w:hAnsi="楷体" w:eastAsia="楷体" w:cs="楷体"/>
                <w:snapToGrid w:val="0"/>
                <w:spacing w:val="0"/>
                <w:kern w:val="0"/>
                <w:sz w:val="24"/>
              </w:rPr>
            </w:pP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楷体" w:hAnsi="楷体" w:eastAsia="楷体" w:cs="楷体"/>
                <w:snapToGrid w:val="0"/>
                <w:spacing w:val="0"/>
                <w:sz w:val="24"/>
              </w:rPr>
            </w:pPr>
            <w:r>
              <w:rPr>
                <w:rFonts w:hint="eastAsia" w:ascii="楷体" w:hAnsi="楷体" w:eastAsia="楷体" w:cs="楷体"/>
                <w:snapToGrid w:val="0"/>
                <w:spacing w:val="0"/>
                <w:kern w:val="0"/>
                <w:sz w:val="24"/>
              </w:rPr>
              <w:t>智慧教育示范引领工程</w:t>
            </w:r>
          </w:p>
        </w:tc>
        <w:tc>
          <w:tcPr>
            <w:tcW w:w="7081" w:type="dxa"/>
          </w:tcPr>
          <w:p>
            <w:pPr>
              <w:pStyle w:val="7"/>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楷体" w:hAnsi="楷体" w:eastAsia="楷体" w:cs="楷体"/>
                <w:snapToGrid w:val="0"/>
                <w:spacing w:val="0"/>
                <w:sz w:val="24"/>
              </w:rPr>
            </w:pPr>
            <w:r>
              <w:rPr>
                <w:rFonts w:hint="eastAsia" w:ascii="楷体" w:hAnsi="楷体" w:eastAsia="楷体" w:cs="楷体"/>
                <w:snapToGrid w:val="0"/>
                <w:spacing w:val="0"/>
                <w:sz w:val="24"/>
              </w:rPr>
              <w:t>把驻马店市创建成为河南省“智慧教育示范区”，争取创建更多学校成为河南省“智慧教育示范校”。遴选信息化基础条件好、发展潜力较大的县区和学校，开展市级“智慧教育示范区”“智慧教育示范校”创建工作。推进人工智能、大数据等技术支持的教育教学方法创新，每年支持1个智慧教育示范区、5个智慧教育示范校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tcPr>
          <w:p>
            <w:pPr>
              <w:pStyle w:val="7"/>
              <w:keepNext w:val="0"/>
              <w:keepLines w:val="0"/>
              <w:pageBreakBefore w:val="0"/>
              <w:kinsoku/>
              <w:wordWrap/>
              <w:overflowPunct/>
              <w:topLinePunct w:val="0"/>
              <w:autoSpaceDE/>
              <w:autoSpaceDN/>
              <w:bidi w:val="0"/>
              <w:adjustRightInd/>
              <w:snapToGrid/>
              <w:spacing w:line="340" w:lineRule="exact"/>
              <w:textAlignment w:val="auto"/>
              <w:rPr>
                <w:rFonts w:ascii="楷体" w:hAnsi="楷体" w:eastAsia="楷体" w:cs="楷体"/>
                <w:snapToGrid w:val="0"/>
                <w:spacing w:val="0"/>
                <w:sz w:val="24"/>
              </w:rPr>
            </w:pPr>
            <w:r>
              <w:rPr>
                <w:rFonts w:hint="eastAsia" w:ascii="楷体" w:hAnsi="楷体" w:eastAsia="楷体" w:cs="楷体"/>
                <w:snapToGrid w:val="0"/>
                <w:spacing w:val="0"/>
                <w:sz w:val="24"/>
              </w:rPr>
              <w:t>教育智能化服务提升工程</w:t>
            </w:r>
          </w:p>
        </w:tc>
        <w:tc>
          <w:tcPr>
            <w:tcW w:w="7081" w:type="dxa"/>
          </w:tcPr>
          <w:p>
            <w:pPr>
              <w:keepNext w:val="0"/>
              <w:keepLines w:val="0"/>
              <w:pageBreakBefore w:val="0"/>
              <w:widowControl/>
              <w:kinsoku/>
              <w:wordWrap/>
              <w:overflowPunct/>
              <w:topLinePunct w:val="0"/>
              <w:autoSpaceDE/>
              <w:autoSpaceDN/>
              <w:bidi w:val="0"/>
              <w:adjustRightInd/>
              <w:snapToGrid/>
              <w:spacing w:line="340" w:lineRule="exact"/>
              <w:ind w:firstLine="480" w:firstLineChars="200"/>
              <w:jc w:val="left"/>
              <w:textAlignment w:val="auto"/>
              <w:rPr>
                <w:rFonts w:ascii="楷体" w:hAnsi="楷体" w:eastAsia="楷体" w:cs="楷体"/>
                <w:snapToGrid w:val="0"/>
                <w:spacing w:val="0"/>
                <w:kern w:val="0"/>
                <w:sz w:val="24"/>
              </w:rPr>
            </w:pPr>
            <w:r>
              <w:rPr>
                <w:rFonts w:hint="eastAsia" w:ascii="楷体" w:hAnsi="楷体" w:eastAsia="楷体" w:cs="楷体"/>
                <w:snapToGrid w:val="0"/>
                <w:spacing w:val="0"/>
                <w:kern w:val="0"/>
                <w:sz w:val="24"/>
              </w:rPr>
              <w:t>建设“互联网+教育”政务服务一体化平台，形成数据目录体系、数据标准体系、数据接口规范，把行政管理、家校互动、政务服务、平安校园等进行聚合，实现全市统一平台、统一数据，互联互通、信息共享。</w:t>
            </w:r>
          </w:p>
        </w:tc>
      </w:tr>
    </w:tbl>
    <w:p>
      <w:pPr>
        <w:keepNext w:val="0"/>
        <w:keepLines w:val="0"/>
        <w:pageBreakBefore w:val="0"/>
        <w:kinsoku/>
        <w:wordWrap/>
        <w:overflowPunct/>
        <w:topLinePunct w:val="0"/>
        <w:autoSpaceDE/>
        <w:autoSpaceDN/>
        <w:bidi w:val="0"/>
        <w:adjustRightInd/>
        <w:snapToGrid/>
        <w:spacing w:line="540" w:lineRule="exact"/>
        <w:ind w:firstLine="642" w:firstLineChars="200"/>
        <w:textAlignment w:val="auto"/>
        <w:outlineLvl w:val="0"/>
        <w:rPr>
          <w:rFonts w:ascii="黑体" w:hAnsi="黑体" w:eastAsia="黑体" w:cs="黑体"/>
          <w:b/>
          <w:bCs/>
          <w:snapToGrid w:val="0"/>
          <w:spacing w:val="0"/>
          <w:sz w:val="32"/>
          <w:szCs w:val="32"/>
        </w:rPr>
      </w:pPr>
      <w:bookmarkStart w:id="139" w:name="_Toc9774"/>
      <w:bookmarkStart w:id="140" w:name="_Toc26025"/>
      <w:r>
        <w:rPr>
          <w:rFonts w:hint="eastAsia" w:ascii="黑体" w:hAnsi="黑体" w:eastAsia="黑体" w:cs="黑体"/>
          <w:b/>
          <w:bCs/>
          <w:snapToGrid w:val="0"/>
          <w:spacing w:val="0"/>
          <w:sz w:val="32"/>
          <w:szCs w:val="32"/>
        </w:rPr>
        <w:t>十</w:t>
      </w:r>
      <w:r>
        <w:rPr>
          <w:rFonts w:hint="eastAsia" w:ascii="黑体" w:hAnsi="黑体" w:eastAsia="黑体" w:cs="黑体"/>
          <w:b/>
          <w:bCs/>
          <w:snapToGrid w:val="0"/>
          <w:spacing w:val="0"/>
          <w:sz w:val="32"/>
          <w:szCs w:val="32"/>
          <w:lang w:eastAsia="zh-CN"/>
        </w:rPr>
        <w:t>二</w:t>
      </w:r>
      <w:r>
        <w:rPr>
          <w:rFonts w:hint="eastAsia" w:ascii="黑体" w:hAnsi="黑体" w:eastAsia="黑体" w:cs="黑体"/>
          <w:b/>
          <w:bCs/>
          <w:snapToGrid w:val="0"/>
          <w:spacing w:val="0"/>
          <w:sz w:val="32"/>
          <w:szCs w:val="32"/>
        </w:rPr>
        <w:t>、推进教育治理体系和治理能力现代化</w:t>
      </w:r>
      <w:bookmarkEnd w:id="139"/>
      <w:bookmarkEnd w:id="140"/>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_GB2312" w:hAnsi="仿宋_GB2312" w:eastAsia="仿宋_GB2312" w:cs="仿宋_GB2312"/>
          <w:snapToGrid w:val="0"/>
          <w:spacing w:val="0"/>
          <w:sz w:val="28"/>
          <w:szCs w:val="28"/>
        </w:rPr>
      </w:pPr>
      <w:r>
        <w:rPr>
          <w:rFonts w:hint="eastAsia" w:ascii="仿宋_GB2312" w:hAnsi="仿宋_GB2312" w:eastAsia="仿宋_GB2312" w:cs="仿宋_GB2312"/>
          <w:snapToGrid w:val="0"/>
          <w:spacing w:val="0"/>
          <w:sz w:val="28"/>
          <w:szCs w:val="28"/>
        </w:rPr>
        <w:t>加快教育法治建设，加强教育行政执法，健全现代学校制度体系，深化新时代教育督导体制机制改革，完善教育领域风险防控机制，切实推进教育治理体系和治理能力现代化。</w:t>
      </w:r>
    </w:p>
    <w:p>
      <w:pPr>
        <w:keepNext w:val="0"/>
        <w:keepLines w:val="0"/>
        <w:pageBreakBefore w:val="0"/>
        <w:widowControl/>
        <w:kinsoku/>
        <w:wordWrap/>
        <w:overflowPunct/>
        <w:topLinePunct w:val="0"/>
        <w:autoSpaceDE/>
        <w:autoSpaceDN/>
        <w:bidi w:val="0"/>
        <w:adjustRightInd/>
        <w:snapToGrid/>
        <w:spacing w:line="540" w:lineRule="exact"/>
        <w:ind w:firstLine="600" w:firstLineChars="200"/>
        <w:jc w:val="left"/>
        <w:textAlignment w:val="auto"/>
        <w:outlineLvl w:val="1"/>
        <w:rPr>
          <w:rFonts w:ascii="楷体" w:hAnsi="楷体" w:eastAsia="楷体" w:cs="楷体"/>
          <w:snapToGrid w:val="0"/>
          <w:spacing w:val="0"/>
          <w:kern w:val="0"/>
          <w:sz w:val="30"/>
          <w:szCs w:val="30"/>
        </w:rPr>
      </w:pPr>
      <w:bookmarkStart w:id="141" w:name="_Toc2532"/>
      <w:bookmarkStart w:id="142" w:name="_Toc1893"/>
      <w:r>
        <w:rPr>
          <w:rFonts w:hint="eastAsia" w:ascii="楷体" w:hAnsi="楷体" w:eastAsia="楷体" w:cs="楷体"/>
          <w:snapToGrid w:val="0"/>
          <w:spacing w:val="0"/>
          <w:kern w:val="0"/>
          <w:sz w:val="30"/>
          <w:szCs w:val="30"/>
        </w:rPr>
        <w:t>（一）强化教育法治建设</w:t>
      </w:r>
      <w:bookmarkEnd w:id="141"/>
      <w:bookmarkEnd w:id="142"/>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ascii="仿宋_GB2312" w:hAnsi="仿宋_GB2312" w:eastAsia="仿宋_GB2312" w:cs="仿宋_GB2312"/>
          <w:bCs/>
          <w:snapToGrid w:val="0"/>
          <w:spacing w:val="0"/>
          <w:sz w:val="28"/>
          <w:szCs w:val="28"/>
        </w:rPr>
      </w:pPr>
      <w:r>
        <w:rPr>
          <w:rFonts w:hint="eastAsia" w:ascii="仿宋_GB2312" w:hAnsi="仿宋_GB2312" w:eastAsia="仿宋_GB2312" w:cs="仿宋_GB2312"/>
          <w:bCs/>
          <w:snapToGrid w:val="0"/>
          <w:spacing w:val="0"/>
          <w:sz w:val="28"/>
          <w:szCs w:val="28"/>
        </w:rPr>
        <w:t>健全教育制度体系。</w:t>
      </w:r>
      <w:r>
        <w:rPr>
          <w:rFonts w:hint="eastAsia" w:ascii="仿宋_GB2312" w:hAnsi="仿宋_GB2312" w:eastAsia="仿宋_GB2312" w:cs="仿宋_GB2312"/>
          <w:sz w:val="28"/>
          <w:szCs w:val="28"/>
          <w:lang w:val="en-US" w:eastAsia="zh-CN"/>
        </w:rPr>
        <w:t>配合做好《河南省教育督导条例》《河南省学前教育条例》等省级地方性教育法规的制定、修订工作，健全完善系统完备、协调衔接的配套政策制度体系。</w:t>
      </w:r>
      <w:r>
        <w:rPr>
          <w:rFonts w:hint="eastAsia" w:ascii="仿宋_GB2312" w:hAnsi="仿宋_GB2312" w:eastAsia="仿宋_GB2312" w:cs="仿宋_GB2312"/>
          <w:bCs/>
          <w:snapToGrid w:val="0"/>
          <w:spacing w:val="0"/>
          <w:sz w:val="28"/>
          <w:szCs w:val="28"/>
        </w:rPr>
        <w:t>加大市、县两级人大及其常委会对教育法律执行情况的监督检查力度，加强司法机关对教育的司法监督，落实政府层级监督机制，进一步发挥社会对教育执法的监督作用。深入落实重大行政决策的公众参与、专家论证、风险评估、合法性审查、集体讨论决定程序，推进决策制度科学、程序正当、民主公开、责任明确。</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ascii="仿宋_GB2312" w:hAnsi="仿宋_GB2312" w:eastAsia="仿宋_GB2312" w:cs="仿宋_GB2312"/>
          <w:bCs/>
          <w:snapToGrid w:val="0"/>
          <w:spacing w:val="0"/>
          <w:sz w:val="28"/>
          <w:szCs w:val="28"/>
        </w:rPr>
      </w:pPr>
      <w:r>
        <w:rPr>
          <w:rFonts w:hint="eastAsia" w:ascii="仿宋_GB2312" w:hAnsi="仿宋_GB2312" w:eastAsia="仿宋_GB2312" w:cs="仿宋_GB2312"/>
          <w:bCs/>
          <w:snapToGrid w:val="0"/>
          <w:spacing w:val="0"/>
          <w:sz w:val="28"/>
          <w:szCs w:val="28"/>
        </w:rPr>
        <w:t>全面推进依法行政。</w:t>
      </w:r>
      <w:r>
        <w:rPr>
          <w:rFonts w:hint="eastAsia" w:ascii="仿宋_GB2312" w:hAnsi="仿宋_GB2312" w:eastAsia="仿宋_GB2312" w:cs="仿宋_GB2312"/>
          <w:sz w:val="28"/>
          <w:szCs w:val="28"/>
          <w:lang w:val="en-US" w:eastAsia="zh-CN"/>
        </w:rPr>
        <w:t>认真贯彻落实《法治驻马店建设规划（2021-2025年）》《驻马店市法治社会建设实施方案（2021-2025年）》（驻发〔2021〕11号）和《驻马店市法治政府建设实施方案》（驻发〔2022〕5号）关于法治建设的总体要求，</w:t>
      </w:r>
      <w:r>
        <w:rPr>
          <w:rFonts w:hint="eastAsia" w:ascii="仿宋_GB2312" w:hAnsi="仿宋_GB2312" w:eastAsia="仿宋_GB2312" w:cs="仿宋_GB2312"/>
          <w:bCs/>
          <w:snapToGrid w:val="0"/>
          <w:spacing w:val="0"/>
          <w:sz w:val="28"/>
          <w:szCs w:val="28"/>
        </w:rPr>
        <w:t>坚持依法治教</w:t>
      </w:r>
      <w:r>
        <w:rPr>
          <w:rFonts w:hint="eastAsia" w:ascii="仿宋_GB2312" w:hAnsi="仿宋_GB2312" w:eastAsia="仿宋_GB2312" w:cs="仿宋_GB2312"/>
          <w:bCs/>
          <w:snapToGrid w:val="0"/>
          <w:spacing w:val="0"/>
          <w:sz w:val="28"/>
          <w:szCs w:val="28"/>
          <w:lang w:eastAsia="zh-CN"/>
        </w:rPr>
        <w:t>、</w:t>
      </w:r>
      <w:r>
        <w:rPr>
          <w:rFonts w:hint="eastAsia" w:ascii="仿宋_GB2312" w:hAnsi="仿宋_GB2312" w:eastAsia="仿宋_GB2312" w:cs="仿宋_GB2312"/>
          <w:bCs/>
          <w:snapToGrid w:val="0"/>
          <w:spacing w:val="0"/>
          <w:sz w:val="28"/>
          <w:szCs w:val="28"/>
        </w:rPr>
        <w:t>依法治校</w:t>
      </w:r>
      <w:r>
        <w:rPr>
          <w:rFonts w:hint="eastAsia" w:ascii="仿宋_GB2312" w:hAnsi="仿宋_GB2312" w:eastAsia="仿宋_GB2312" w:cs="仿宋_GB2312"/>
          <w:bCs/>
          <w:snapToGrid w:val="0"/>
          <w:spacing w:val="0"/>
          <w:sz w:val="28"/>
          <w:szCs w:val="28"/>
          <w:lang w:eastAsia="zh-CN"/>
        </w:rPr>
        <w:t>、</w:t>
      </w:r>
      <w:r>
        <w:rPr>
          <w:rFonts w:hint="eastAsia" w:ascii="仿宋_GB2312" w:hAnsi="仿宋_GB2312" w:eastAsia="仿宋_GB2312" w:cs="仿宋_GB2312"/>
          <w:bCs/>
          <w:snapToGrid w:val="0"/>
          <w:spacing w:val="0"/>
          <w:sz w:val="28"/>
          <w:szCs w:val="28"/>
        </w:rPr>
        <w:t>依法办学，构建政府、学校、社会之间的新型关系，完善政府依法宏观管理、学校依法自主办学、社会有序参与的格局。</w:t>
      </w:r>
      <w:r>
        <w:rPr>
          <w:rFonts w:hint="eastAsia" w:ascii="仿宋_GB2312" w:hAnsi="仿宋_GB2312" w:eastAsia="仿宋_GB2312" w:cs="仿宋_GB2312"/>
          <w:bCs/>
          <w:snapToGrid w:val="0"/>
          <w:spacing w:val="0"/>
          <w:sz w:val="28"/>
          <w:szCs w:val="28"/>
          <w:lang w:eastAsia="zh-CN"/>
        </w:rPr>
        <w:t>认真贯彻教育部等五部委制定的《中小学法治</w:t>
      </w:r>
      <w:r>
        <w:rPr>
          <w:rFonts w:hint="eastAsia" w:ascii="仿宋_GB2312" w:hAnsi="仿宋_GB2312" w:eastAsia="仿宋_GB2312" w:cs="仿宋_GB2312"/>
          <w:bCs/>
          <w:snapToGrid w:val="0"/>
          <w:spacing w:val="0"/>
          <w:sz w:val="28"/>
          <w:szCs w:val="28"/>
          <w:lang w:val="en-US" w:eastAsia="zh-CN"/>
        </w:rPr>
        <w:t>副校长聘任与管理办法</w:t>
      </w:r>
      <w:r>
        <w:rPr>
          <w:rFonts w:hint="eastAsia" w:ascii="仿宋_GB2312" w:hAnsi="仿宋_GB2312" w:eastAsia="仿宋_GB2312" w:cs="仿宋_GB2312"/>
          <w:bCs/>
          <w:snapToGrid w:val="0"/>
          <w:spacing w:val="0"/>
          <w:sz w:val="28"/>
          <w:szCs w:val="28"/>
          <w:lang w:eastAsia="zh-CN"/>
        </w:rPr>
        <w:t>》，</w:t>
      </w:r>
      <w:r>
        <w:rPr>
          <w:rFonts w:hint="eastAsia" w:ascii="仿宋_GB2312" w:hAnsi="仿宋_GB2312" w:eastAsia="仿宋_GB2312" w:cs="仿宋_GB2312"/>
          <w:bCs/>
          <w:snapToGrid w:val="0"/>
          <w:spacing w:val="0"/>
          <w:sz w:val="28"/>
          <w:szCs w:val="28"/>
        </w:rPr>
        <w:t>健全中小学法</w:t>
      </w:r>
      <w:r>
        <w:rPr>
          <w:rFonts w:hint="eastAsia" w:ascii="仿宋_GB2312" w:hAnsi="仿宋_GB2312" w:eastAsia="仿宋_GB2312" w:cs="仿宋_GB2312"/>
          <w:bCs/>
          <w:snapToGrid w:val="0"/>
          <w:spacing w:val="0"/>
          <w:sz w:val="28"/>
          <w:szCs w:val="28"/>
          <w:lang w:eastAsia="zh-CN"/>
        </w:rPr>
        <w:t>治</w:t>
      </w:r>
      <w:r>
        <w:rPr>
          <w:rFonts w:hint="eastAsia" w:ascii="仿宋_GB2312" w:hAnsi="仿宋_GB2312" w:eastAsia="仿宋_GB2312" w:cs="仿宋_GB2312"/>
          <w:bCs/>
          <w:snapToGrid w:val="0"/>
          <w:spacing w:val="0"/>
          <w:sz w:val="28"/>
          <w:szCs w:val="28"/>
        </w:rPr>
        <w:t>副校长制度。加快健全教育执法机制，加强教育执法能力建设，完善联合执法机制。利用信息化手段，增强对教育违法行为及时发现、实时纠正的能力。严格</w:t>
      </w:r>
      <w:r>
        <w:rPr>
          <w:rFonts w:hint="eastAsia" w:ascii="仿宋_GB2312" w:hAnsi="仿宋_GB2312" w:eastAsia="仿宋_GB2312" w:cs="仿宋_GB2312"/>
          <w:bCs/>
          <w:snapToGrid w:val="0"/>
          <w:spacing w:val="0"/>
          <w:sz w:val="28"/>
          <w:szCs w:val="28"/>
          <w:lang w:eastAsia="zh-CN"/>
        </w:rPr>
        <w:t>落实行政执法公示</w:t>
      </w:r>
      <w:r>
        <w:rPr>
          <w:rFonts w:hint="eastAsia" w:ascii="仿宋_GB2312" w:hAnsi="仿宋_GB2312" w:eastAsia="仿宋_GB2312" w:cs="仿宋_GB2312"/>
          <w:bCs/>
          <w:snapToGrid w:val="0"/>
          <w:spacing w:val="0"/>
          <w:sz w:val="28"/>
          <w:szCs w:val="28"/>
        </w:rPr>
        <w:t>制度，</w:t>
      </w:r>
      <w:r>
        <w:rPr>
          <w:rFonts w:hint="eastAsia" w:ascii="仿宋_GB2312" w:hAnsi="仿宋_GB2312" w:eastAsia="仿宋_GB2312" w:cs="仿宋_GB2312"/>
          <w:bCs/>
          <w:snapToGrid w:val="0"/>
          <w:spacing w:val="0"/>
          <w:sz w:val="28"/>
          <w:szCs w:val="28"/>
          <w:lang w:eastAsia="zh-CN"/>
        </w:rPr>
        <w:t>行政执法全过程记录</w:t>
      </w:r>
      <w:r>
        <w:rPr>
          <w:rFonts w:hint="eastAsia" w:ascii="仿宋_GB2312" w:hAnsi="仿宋_GB2312" w:eastAsia="仿宋_GB2312" w:cs="仿宋_GB2312"/>
          <w:bCs/>
          <w:snapToGrid w:val="0"/>
          <w:spacing w:val="0"/>
          <w:sz w:val="28"/>
          <w:szCs w:val="28"/>
        </w:rPr>
        <w:t>制度</w:t>
      </w:r>
      <w:r>
        <w:rPr>
          <w:rFonts w:hint="eastAsia" w:ascii="仿宋_GB2312" w:hAnsi="仿宋_GB2312" w:eastAsia="仿宋_GB2312" w:cs="仿宋_GB2312"/>
          <w:bCs/>
          <w:snapToGrid w:val="0"/>
          <w:spacing w:val="0"/>
          <w:sz w:val="28"/>
          <w:szCs w:val="28"/>
          <w:lang w:eastAsia="zh-CN"/>
        </w:rPr>
        <w:t>和重大执法决定法制审核制度</w:t>
      </w:r>
      <w:r>
        <w:rPr>
          <w:rFonts w:hint="eastAsia" w:ascii="仿宋_GB2312" w:hAnsi="仿宋_GB2312" w:eastAsia="仿宋_GB2312" w:cs="仿宋_GB2312"/>
          <w:bCs/>
          <w:snapToGrid w:val="0"/>
          <w:spacing w:val="0"/>
          <w:sz w:val="28"/>
          <w:szCs w:val="28"/>
        </w:rPr>
        <w:t>。充分利用社会法治教育资源、青少年法治教育实践基地开展形式多样的法治教育活动。</w:t>
      </w:r>
    </w:p>
    <w:p>
      <w:pPr>
        <w:keepNext w:val="0"/>
        <w:keepLines w:val="0"/>
        <w:pageBreakBefore w:val="0"/>
        <w:widowControl/>
        <w:kinsoku/>
        <w:wordWrap/>
        <w:overflowPunct/>
        <w:topLinePunct w:val="0"/>
        <w:autoSpaceDE/>
        <w:autoSpaceDN/>
        <w:bidi w:val="0"/>
        <w:adjustRightInd/>
        <w:snapToGrid/>
        <w:spacing w:line="540" w:lineRule="exact"/>
        <w:ind w:firstLine="600" w:firstLineChars="200"/>
        <w:jc w:val="left"/>
        <w:textAlignment w:val="auto"/>
        <w:outlineLvl w:val="1"/>
        <w:rPr>
          <w:rFonts w:ascii="楷体" w:hAnsi="楷体" w:eastAsia="楷体" w:cs="楷体"/>
          <w:snapToGrid w:val="0"/>
          <w:spacing w:val="0"/>
          <w:kern w:val="0"/>
          <w:sz w:val="30"/>
          <w:szCs w:val="30"/>
        </w:rPr>
      </w:pPr>
      <w:bookmarkStart w:id="143" w:name="_Toc27093"/>
      <w:bookmarkStart w:id="144" w:name="_Toc15302"/>
      <w:r>
        <w:rPr>
          <w:rFonts w:hint="eastAsia" w:ascii="楷体" w:hAnsi="楷体" w:eastAsia="楷体" w:cs="楷体"/>
          <w:snapToGrid w:val="0"/>
          <w:spacing w:val="0"/>
          <w:kern w:val="0"/>
          <w:sz w:val="30"/>
          <w:szCs w:val="30"/>
        </w:rPr>
        <w:t>（二）健全现代学校制度体系</w:t>
      </w:r>
      <w:bookmarkEnd w:id="143"/>
      <w:bookmarkEnd w:id="144"/>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ascii="仿宋_GB2312" w:hAnsi="仿宋_GB2312" w:eastAsia="仿宋_GB2312" w:cs="仿宋_GB2312"/>
          <w:bCs/>
          <w:snapToGrid w:val="0"/>
          <w:spacing w:val="0"/>
          <w:sz w:val="28"/>
          <w:szCs w:val="28"/>
        </w:rPr>
      </w:pPr>
      <w:r>
        <w:rPr>
          <w:rFonts w:hint="eastAsia" w:ascii="仿宋_GB2312" w:hAnsi="仿宋_GB2312" w:eastAsia="仿宋_GB2312" w:cs="仿宋_GB2312"/>
          <w:bCs/>
          <w:snapToGrid w:val="0"/>
          <w:spacing w:val="0"/>
          <w:sz w:val="28"/>
          <w:szCs w:val="28"/>
        </w:rPr>
        <w:t>完善学校内部治理结构。</w:t>
      </w:r>
      <w:r>
        <w:rPr>
          <w:rFonts w:hint="eastAsia" w:ascii="仿宋_GB2312" w:hAnsi="仿宋_GB2312" w:eastAsia="仿宋_GB2312" w:cs="仿宋_GB2312"/>
          <w:bCs/>
          <w:snapToGrid w:val="0"/>
          <w:spacing w:val="0"/>
          <w:sz w:val="28"/>
          <w:szCs w:val="28"/>
          <w:lang w:eastAsia="zh-CN"/>
        </w:rPr>
        <w:t>启动实施章程建设规范化学校暨现代学校制度试点学校创建认定工作，</w:t>
      </w:r>
      <w:r>
        <w:rPr>
          <w:rFonts w:hint="eastAsia" w:ascii="仿宋_GB2312" w:hAnsi="仿宋_GB2312" w:eastAsia="仿宋_GB2312" w:cs="仿宋_GB2312"/>
          <w:bCs/>
          <w:snapToGrid w:val="0"/>
          <w:spacing w:val="0"/>
          <w:sz w:val="28"/>
          <w:szCs w:val="28"/>
        </w:rPr>
        <w:t>加强学校章程建设，创新章程实施保障机制，推动形成以章程为核心，规范统一、分类科学、运行高效的学校规章制度体系。推动构建有中国特色的学校法人制度,完善学校治理体系，提高学校办学活力和自我监管能力。强化职业学校行业企业参与的理事会制度。完善中小学家长委员会制度，扩大家长对学校办学活动和管理行为的知情权、参与权和监督权。建立社会参与学校管理机制，鼓励学校开放办学，形成家长、社区、用人单位、行业协会等共同参与学校治理的格局。创新学校管理模式，鼓励采用大数据分析等现代化技术手段，推动学校管理精准化、科学化。</w:t>
      </w:r>
    </w:p>
    <w:p>
      <w:pPr>
        <w:pStyle w:val="2"/>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bCs/>
          <w:snapToGrid w:val="0"/>
          <w:spacing w:val="0"/>
          <w:sz w:val="28"/>
          <w:szCs w:val="28"/>
        </w:rPr>
      </w:pPr>
      <w:r>
        <w:rPr>
          <w:rFonts w:hint="eastAsia" w:ascii="仿宋_GB2312" w:hAnsi="仿宋_GB2312" w:eastAsia="仿宋_GB2312" w:cs="仿宋_GB2312"/>
          <w:bCs/>
          <w:snapToGrid w:val="0"/>
          <w:spacing w:val="0"/>
          <w:sz w:val="28"/>
          <w:szCs w:val="28"/>
        </w:rPr>
        <w:t>不断提高依法治校水平。</w:t>
      </w:r>
      <w:r>
        <w:rPr>
          <w:rFonts w:hint="eastAsia" w:ascii="仿宋_GB2312" w:hAnsi="仿宋_GB2312" w:eastAsia="仿宋_GB2312" w:cs="仿宋_GB2312"/>
          <w:bCs/>
          <w:snapToGrid w:val="0"/>
          <w:spacing w:val="0"/>
          <w:sz w:val="28"/>
          <w:szCs w:val="28"/>
          <w:lang w:eastAsia="zh-CN"/>
        </w:rPr>
        <w:t>扎实开展“依法治校示范校”创建活动，完善评估办法，细化考核指标，建立考评机制，</w:t>
      </w:r>
      <w:r>
        <w:rPr>
          <w:rFonts w:hint="eastAsia" w:ascii="仿宋_GB2312" w:hAnsi="仿宋_GB2312" w:eastAsia="仿宋_GB2312" w:cs="仿宋_GB2312"/>
          <w:bCs/>
          <w:snapToGrid w:val="0"/>
          <w:spacing w:val="0"/>
          <w:sz w:val="28"/>
          <w:szCs w:val="28"/>
        </w:rPr>
        <w:t>把依法治理效能作为考核学校领导的重要指标，提升学校依法治校的意识与能力。健全师生与学校争议的调解和申诉处理机制，维护师生的合法权益。建立未成年学生学校保护机制，依法治理“校闹”。</w:t>
      </w:r>
      <w:bookmarkStart w:id="145" w:name="_Toc31362"/>
      <w:bookmarkStart w:id="146" w:name="_Toc11593"/>
    </w:p>
    <w:p>
      <w:pPr>
        <w:pStyle w:val="2"/>
        <w:keepNext w:val="0"/>
        <w:keepLines w:val="0"/>
        <w:pageBreakBefore w:val="0"/>
        <w:kinsoku/>
        <w:wordWrap/>
        <w:overflowPunct/>
        <w:topLinePunct w:val="0"/>
        <w:autoSpaceDE/>
        <w:autoSpaceDN/>
        <w:bidi w:val="0"/>
        <w:adjustRightInd/>
        <w:snapToGrid/>
        <w:spacing w:line="540" w:lineRule="exact"/>
        <w:textAlignment w:val="auto"/>
        <w:rPr>
          <w:rFonts w:ascii="楷体" w:hAnsi="楷体" w:eastAsia="楷体" w:cs="楷体"/>
          <w:snapToGrid w:val="0"/>
          <w:spacing w:val="0"/>
          <w:kern w:val="0"/>
          <w:sz w:val="30"/>
          <w:szCs w:val="30"/>
        </w:rPr>
      </w:pPr>
      <w:r>
        <w:rPr>
          <w:rFonts w:hint="eastAsia" w:ascii="楷体" w:hAnsi="楷体" w:eastAsia="楷体" w:cs="楷体"/>
          <w:snapToGrid w:val="0"/>
          <w:spacing w:val="0"/>
          <w:kern w:val="0"/>
          <w:sz w:val="30"/>
          <w:szCs w:val="30"/>
        </w:rPr>
        <w:t>（三）健全教育督导体制机制</w:t>
      </w:r>
      <w:bookmarkEnd w:id="145"/>
      <w:bookmarkEnd w:id="146"/>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ascii="仿宋_GB2312" w:hAnsi="仿宋_GB2312" w:eastAsia="仿宋_GB2312" w:cs="仿宋_GB2312"/>
          <w:bCs/>
          <w:snapToGrid w:val="0"/>
          <w:spacing w:val="0"/>
          <w:sz w:val="28"/>
          <w:szCs w:val="28"/>
        </w:rPr>
      </w:pPr>
      <w:r>
        <w:rPr>
          <w:rFonts w:ascii="仿宋_GB2312" w:hAnsi="仿宋_GB2312" w:eastAsia="仿宋_GB2312" w:cs="仿宋_GB2312"/>
          <w:bCs/>
          <w:snapToGrid w:val="0"/>
          <w:spacing w:val="0"/>
          <w:sz w:val="28"/>
          <w:szCs w:val="28"/>
        </w:rPr>
        <w:t>完善教育督导管理体制。强化市县两级政府教育督导职能，</w:t>
      </w:r>
      <w:r>
        <w:rPr>
          <w:rFonts w:hint="eastAsia" w:ascii="仿宋_GB2312" w:hAnsi="仿宋_GB2312" w:eastAsia="仿宋_GB2312" w:cs="仿宋_GB2312"/>
          <w:bCs/>
          <w:snapToGrid w:val="0"/>
          <w:spacing w:val="0"/>
          <w:sz w:val="28"/>
          <w:szCs w:val="28"/>
        </w:rPr>
        <w:t>健全工作规程，明确工作程序，</w:t>
      </w:r>
      <w:r>
        <w:rPr>
          <w:rFonts w:ascii="仿宋_GB2312" w:hAnsi="仿宋_GB2312" w:eastAsia="仿宋_GB2312" w:cs="仿宋_GB2312"/>
          <w:bCs/>
          <w:snapToGrid w:val="0"/>
          <w:spacing w:val="0"/>
          <w:sz w:val="28"/>
          <w:szCs w:val="28"/>
        </w:rPr>
        <w:t>形成</w:t>
      </w:r>
      <w:r>
        <w:rPr>
          <w:rFonts w:hint="eastAsia" w:ascii="仿宋_GB2312" w:hAnsi="仿宋_GB2312" w:eastAsia="仿宋_GB2312" w:cs="仿宋_GB2312"/>
          <w:bCs/>
          <w:snapToGrid w:val="0"/>
          <w:spacing w:val="0"/>
          <w:sz w:val="28"/>
          <w:szCs w:val="28"/>
        </w:rPr>
        <w:t>教育督导机构</w:t>
      </w:r>
      <w:r>
        <w:rPr>
          <w:rFonts w:ascii="仿宋_GB2312" w:hAnsi="仿宋_GB2312" w:eastAsia="仿宋_GB2312" w:cs="仿宋_GB2312"/>
          <w:bCs/>
          <w:snapToGrid w:val="0"/>
          <w:spacing w:val="0"/>
          <w:sz w:val="28"/>
          <w:szCs w:val="28"/>
        </w:rPr>
        <w:t>统一协调</w:t>
      </w:r>
      <w:r>
        <w:rPr>
          <w:rFonts w:hint="eastAsia" w:ascii="仿宋_GB2312" w:hAnsi="仿宋_GB2312" w:eastAsia="仿宋_GB2312" w:cs="仿宋_GB2312"/>
          <w:bCs/>
          <w:snapToGrid w:val="0"/>
          <w:spacing w:val="0"/>
          <w:sz w:val="28"/>
          <w:szCs w:val="28"/>
        </w:rPr>
        <w:t>、各成员单位齐抓共管的工作格局。</w:t>
      </w:r>
      <w:r>
        <w:rPr>
          <w:rFonts w:hint="eastAsia" w:ascii="仿宋_GB2312" w:hAnsi="仿宋_GB2312" w:eastAsia="仿宋_GB2312" w:cs="仿宋_GB2312"/>
          <w:bCs/>
          <w:snapToGrid w:val="0"/>
          <w:spacing w:val="0"/>
          <w:sz w:val="28"/>
          <w:szCs w:val="28"/>
          <w:lang w:eastAsia="zh-CN"/>
        </w:rPr>
        <w:t>健全对县级政府履行教育职责评价机制，</w:t>
      </w:r>
      <w:r>
        <w:rPr>
          <w:rFonts w:ascii="仿宋_GB2312" w:hAnsi="仿宋_GB2312" w:eastAsia="仿宋_GB2312" w:cs="仿宋_GB2312"/>
          <w:bCs/>
          <w:snapToGrid w:val="0"/>
          <w:spacing w:val="0"/>
          <w:sz w:val="28"/>
          <w:szCs w:val="28"/>
        </w:rPr>
        <w:t>压实各级政府教育职责。开展县域义务教育优质均衡发展督导评估，</w:t>
      </w:r>
      <w:r>
        <w:rPr>
          <w:rFonts w:hint="eastAsia" w:ascii="仿宋_GB2312" w:hAnsi="仿宋_GB2312" w:eastAsia="仿宋_GB2312" w:cs="仿宋_GB2312"/>
          <w:bCs/>
          <w:snapToGrid w:val="0"/>
          <w:spacing w:val="0"/>
          <w:sz w:val="28"/>
          <w:szCs w:val="28"/>
          <w:lang w:eastAsia="zh-CN"/>
        </w:rPr>
        <w:t>推动义务教育优质均衡发展</w:t>
      </w:r>
      <w:r>
        <w:rPr>
          <w:rFonts w:ascii="仿宋_GB2312" w:hAnsi="仿宋_GB2312" w:eastAsia="仿宋_GB2312" w:cs="仿宋_GB2312"/>
          <w:bCs/>
          <w:snapToGrid w:val="0"/>
          <w:spacing w:val="0"/>
          <w:sz w:val="28"/>
          <w:szCs w:val="28"/>
        </w:rPr>
        <w:t>。开展县域学前教育普及普惠督导评估，提高学前教育普及普惠水平。</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ascii="仿宋_GB2312" w:hAnsi="仿宋_GB2312" w:eastAsia="仿宋_GB2312" w:cs="仿宋_GB2312"/>
          <w:bCs/>
          <w:snapToGrid w:val="0"/>
          <w:spacing w:val="0"/>
          <w:sz w:val="28"/>
          <w:szCs w:val="28"/>
        </w:rPr>
      </w:pPr>
      <w:r>
        <w:rPr>
          <w:rFonts w:ascii="仿宋_GB2312" w:hAnsi="仿宋_GB2312" w:eastAsia="仿宋_GB2312" w:cs="仿宋_GB2312"/>
          <w:bCs/>
          <w:snapToGrid w:val="0"/>
          <w:spacing w:val="0"/>
          <w:sz w:val="28"/>
          <w:szCs w:val="28"/>
        </w:rPr>
        <w:t>创新教育督导运行机制。</w:t>
      </w:r>
      <w:r>
        <w:rPr>
          <w:rFonts w:hint="eastAsia" w:ascii="仿宋_GB2312" w:hAnsi="仿宋_GB2312" w:eastAsia="仿宋_GB2312" w:cs="仿宋_GB2312"/>
          <w:bCs/>
          <w:snapToGrid w:val="0"/>
          <w:spacing w:val="0"/>
          <w:sz w:val="28"/>
          <w:szCs w:val="28"/>
          <w:lang w:eastAsia="zh-CN"/>
        </w:rPr>
        <w:t>加强学校督导，规范办学行为。</w:t>
      </w:r>
      <w:r>
        <w:rPr>
          <w:rFonts w:hint="eastAsia" w:ascii="仿宋_GB2312" w:hAnsi="仿宋_GB2312" w:eastAsia="仿宋_GB2312" w:cs="仿宋_GB2312"/>
          <w:bCs/>
          <w:snapToGrid w:val="0"/>
          <w:spacing w:val="0"/>
          <w:sz w:val="28"/>
          <w:szCs w:val="28"/>
        </w:rPr>
        <w:t>开展幼儿园办园行为督导</w:t>
      </w:r>
      <w:r>
        <w:rPr>
          <w:rFonts w:hint="eastAsia" w:ascii="仿宋_GB2312" w:hAnsi="仿宋_GB2312" w:eastAsia="仿宋_GB2312" w:cs="仿宋_GB2312"/>
          <w:bCs/>
          <w:snapToGrid w:val="0"/>
          <w:spacing w:val="0"/>
          <w:sz w:val="28"/>
          <w:szCs w:val="28"/>
          <w:lang w:eastAsia="zh-CN"/>
        </w:rPr>
        <w:t>，</w:t>
      </w:r>
      <w:r>
        <w:rPr>
          <w:rFonts w:hint="eastAsia" w:ascii="仿宋_GB2312" w:hAnsi="仿宋_GB2312" w:eastAsia="仿宋_GB2312" w:cs="仿宋_GB2312"/>
          <w:bCs/>
          <w:snapToGrid w:val="0"/>
          <w:spacing w:val="0"/>
          <w:sz w:val="28"/>
          <w:szCs w:val="28"/>
        </w:rPr>
        <w:t>中小学校</w:t>
      </w:r>
      <w:r>
        <w:rPr>
          <w:rFonts w:hint="eastAsia" w:ascii="仿宋_GB2312" w:hAnsi="仿宋_GB2312" w:eastAsia="仿宋_GB2312" w:cs="仿宋_GB2312"/>
          <w:bCs/>
          <w:snapToGrid w:val="0"/>
          <w:spacing w:val="0"/>
          <w:sz w:val="28"/>
          <w:szCs w:val="28"/>
          <w:lang w:eastAsia="zh-CN"/>
        </w:rPr>
        <w:t>（幼儿园）</w:t>
      </w:r>
      <w:r>
        <w:rPr>
          <w:rFonts w:hint="eastAsia" w:ascii="仿宋_GB2312" w:hAnsi="仿宋_GB2312" w:eastAsia="仿宋_GB2312" w:cs="仿宋_GB2312"/>
          <w:bCs/>
          <w:snapToGrid w:val="0"/>
          <w:spacing w:val="0"/>
          <w:sz w:val="28"/>
          <w:szCs w:val="28"/>
        </w:rPr>
        <w:t>责任督学常态化督导，</w:t>
      </w:r>
      <w:r>
        <w:rPr>
          <w:rFonts w:hint="eastAsia" w:ascii="仿宋_GB2312" w:hAnsi="仿宋_GB2312" w:eastAsia="仿宋_GB2312" w:cs="仿宋_GB2312"/>
          <w:bCs/>
          <w:snapToGrid w:val="0"/>
          <w:spacing w:val="0"/>
          <w:sz w:val="28"/>
          <w:szCs w:val="28"/>
          <w:lang w:eastAsia="zh-CN"/>
        </w:rPr>
        <w:t>普通高中办学质量评价，</w:t>
      </w:r>
      <w:r>
        <w:rPr>
          <w:rFonts w:hint="eastAsia" w:ascii="仿宋_GB2312" w:hAnsi="仿宋_GB2312" w:eastAsia="仿宋_GB2312" w:cs="仿宋_GB2312"/>
          <w:bCs/>
          <w:snapToGrid w:val="0"/>
          <w:spacing w:val="0"/>
          <w:sz w:val="28"/>
          <w:szCs w:val="28"/>
        </w:rPr>
        <w:t>建立教育评估监测制度，完善评估监测指标体系。引入市场机制，将委托专业机构和社会组织开展教育评价纳入政府购买服务范围，督导结果依法依规向社会公开</w:t>
      </w:r>
      <w:r>
        <w:rPr>
          <w:rFonts w:hint="eastAsia" w:ascii="仿宋_GB2312" w:hAnsi="仿宋_GB2312" w:eastAsia="仿宋_GB2312" w:cs="仿宋_GB2312"/>
          <w:bCs/>
          <w:snapToGrid w:val="0"/>
          <w:spacing w:val="0"/>
          <w:sz w:val="28"/>
          <w:szCs w:val="28"/>
          <w:lang w:eastAsia="zh-CN"/>
        </w:rPr>
        <w:t>。强化结果运用，县级以上人民政府或者有关部门应当将督导报告作为考核奖惩被督导单位及其主要负责人的重要依据，将约谈整改情况作为制定教育决策、改进教育工作和安排教育项目的重要依据</w:t>
      </w:r>
      <w:r>
        <w:rPr>
          <w:rFonts w:hint="eastAsia" w:ascii="仿宋_GB2312" w:hAnsi="仿宋_GB2312" w:eastAsia="仿宋_GB2312" w:cs="仿宋_GB2312"/>
          <w:bCs/>
          <w:snapToGrid w:val="0"/>
          <w:spacing w:val="0"/>
          <w:sz w:val="28"/>
          <w:szCs w:val="28"/>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提高教育督导保障水平。建设一支数量充足、结构合理、业务精湛、廉洁高效、专兼结合的督学队伍。落实教育督导条件保障，设立专项经费，在本级政府财政预算中单列。建立督学工作补助制度，加强对督学队伍的培训。</w:t>
      </w:r>
      <w:bookmarkStart w:id="147" w:name="_Toc16083"/>
      <w:bookmarkStart w:id="148" w:name="_Toc7576"/>
    </w:p>
    <w:p>
      <w:pPr>
        <w:keepNext w:val="0"/>
        <w:keepLines w:val="0"/>
        <w:pageBreakBefore w:val="0"/>
        <w:widowControl/>
        <w:numPr>
          <w:ilvl w:val="0"/>
          <w:numId w:val="1"/>
        </w:numPr>
        <w:kinsoku/>
        <w:wordWrap/>
        <w:overflowPunct/>
        <w:topLinePunct w:val="0"/>
        <w:autoSpaceDE/>
        <w:autoSpaceDN/>
        <w:bidi w:val="0"/>
        <w:adjustRightInd/>
        <w:snapToGrid/>
        <w:spacing w:line="360" w:lineRule="auto"/>
        <w:ind w:firstLine="600" w:firstLineChars="200"/>
        <w:jc w:val="left"/>
        <w:textAlignment w:val="auto"/>
        <w:rPr>
          <w:rFonts w:hint="eastAsia" w:ascii="仿宋_GB2312" w:hAnsi="仿宋_GB2312" w:eastAsia="仿宋_GB2312" w:cs="仿宋_GB2312"/>
          <w:color w:val="000000"/>
          <w:kern w:val="0"/>
          <w:sz w:val="30"/>
          <w:szCs w:val="30"/>
        </w:rPr>
      </w:pPr>
      <w:r>
        <w:rPr>
          <w:rFonts w:hint="eastAsia" w:ascii="楷体" w:hAnsi="楷体" w:eastAsia="楷体" w:cs="仿宋_GB2312"/>
          <w:bCs/>
          <w:snapToGrid w:val="0"/>
          <w:spacing w:val="0"/>
          <w:sz w:val="30"/>
          <w:szCs w:val="30"/>
        </w:rPr>
        <w:t>完善教育领域风险防控机制</w:t>
      </w:r>
      <w:bookmarkEnd w:id="147"/>
      <w:bookmarkEnd w:id="148"/>
      <w:bookmarkStart w:id="149" w:name="_Toc27612"/>
      <w:bookmarkStart w:id="150" w:name="_Toc14145"/>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统筹教育发展和安全。落实教育系统意识形态和安全稳定责任制，压实学校安全稳定主体责任、教育部门管理责任，确保教育领域政治安全和校园和谐稳定。完善学校法律风险防控体系，完善合同管理制度，加强学校涉法事务管理，健全师生人身伤害事故纠纷的预防、处置和风险分担机制。建立健全安全管理制度，开展消防、反恐等安全标准化管理工作。深化安全教育，积极推进安全教育进教材、进课堂、进头脑，加大安全演练力度，提高学生安全意识和能力。加强人防物防技防建设，夯实安全基础，切实提升学校安全防范水平。全面推进学校安全风险辨识管控与隐患排查治理双重预防体系建设，强化风险排查，加大隐患治理力度，建立健全安全管理长效机制。</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top"/>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开展教育系统平安建设和平安校园创建工作，全面落实安全管理措施，加强政治安全、反恐、宗教、扫黑除恶和预防邪教渗透、电信诈骗工作，强化消防、校舍、食品、危险化学品、特种设备、校车、校园周边治安及预防未成年人溺亡工作，提升安全</w:t>
      </w:r>
      <w:r>
        <w:rPr>
          <w:rFonts w:hint="eastAsia" w:ascii="仿宋_GB2312" w:hAnsi="仿宋_GB2312" w:eastAsia="仿宋_GB2312" w:cs="仿宋_GB2312"/>
          <w:color w:val="000000"/>
          <w:kern w:val="0"/>
          <w:sz w:val="28"/>
          <w:szCs w:val="28"/>
          <w:lang w:eastAsia="zh-CN"/>
        </w:rPr>
        <w:t>管理</w:t>
      </w:r>
      <w:r>
        <w:rPr>
          <w:rFonts w:hint="eastAsia" w:ascii="仿宋_GB2312" w:hAnsi="仿宋_GB2312" w:eastAsia="仿宋_GB2312" w:cs="仿宋_GB2312"/>
          <w:color w:val="000000"/>
          <w:kern w:val="0"/>
          <w:sz w:val="28"/>
          <w:szCs w:val="28"/>
        </w:rPr>
        <w:t>水平，有效防范涉校涉生安全事故事件发生。健全学校心理服务体系，积极开展心理疏导、危机干预，有效预防极端案(事)件发生。</w:t>
      </w:r>
    </w:p>
    <w:p>
      <w:pPr>
        <w:keepNext w:val="0"/>
        <w:keepLines w:val="0"/>
        <w:pageBreakBefore w:val="0"/>
        <w:kinsoku/>
        <w:wordWrap/>
        <w:overflowPunct/>
        <w:topLinePunct w:val="0"/>
        <w:autoSpaceDE/>
        <w:autoSpaceDN/>
        <w:bidi w:val="0"/>
        <w:adjustRightInd/>
        <w:snapToGrid/>
        <w:spacing w:line="540" w:lineRule="exact"/>
        <w:ind w:firstLine="642" w:firstLineChars="200"/>
        <w:textAlignment w:val="auto"/>
        <w:outlineLvl w:val="0"/>
        <w:rPr>
          <w:rFonts w:ascii="黑体" w:hAnsi="黑体" w:eastAsia="黑体" w:cs="黑体"/>
          <w:b/>
          <w:bCs/>
          <w:snapToGrid w:val="0"/>
          <w:spacing w:val="0"/>
          <w:sz w:val="32"/>
          <w:szCs w:val="32"/>
        </w:rPr>
      </w:pPr>
      <w:r>
        <w:rPr>
          <w:rFonts w:hint="eastAsia" w:ascii="黑体" w:hAnsi="黑体" w:eastAsia="黑体" w:cs="黑体"/>
          <w:b/>
          <w:bCs/>
          <w:snapToGrid w:val="0"/>
          <w:spacing w:val="0"/>
          <w:sz w:val="32"/>
          <w:szCs w:val="32"/>
        </w:rPr>
        <w:t>十</w:t>
      </w:r>
      <w:r>
        <w:rPr>
          <w:rFonts w:hint="eastAsia" w:ascii="黑体" w:hAnsi="黑体" w:eastAsia="黑体" w:cs="黑体"/>
          <w:b/>
          <w:bCs/>
          <w:snapToGrid w:val="0"/>
          <w:spacing w:val="0"/>
          <w:sz w:val="32"/>
          <w:szCs w:val="32"/>
          <w:lang w:eastAsia="zh-CN"/>
        </w:rPr>
        <w:t>三</w:t>
      </w:r>
      <w:r>
        <w:rPr>
          <w:rFonts w:hint="eastAsia" w:ascii="黑体" w:hAnsi="黑体" w:eastAsia="黑体" w:cs="黑体"/>
          <w:b/>
          <w:bCs/>
          <w:snapToGrid w:val="0"/>
          <w:spacing w:val="0"/>
          <w:sz w:val="32"/>
          <w:szCs w:val="32"/>
        </w:rPr>
        <w:t>、健全教育经费投入和管理机制</w:t>
      </w:r>
      <w:bookmarkEnd w:id="149"/>
      <w:bookmarkEnd w:id="150"/>
    </w:p>
    <w:p>
      <w:pPr>
        <w:pStyle w:val="2"/>
        <w:keepNext w:val="0"/>
        <w:keepLines w:val="0"/>
        <w:pageBreakBefore w:val="0"/>
        <w:kinsoku/>
        <w:wordWrap/>
        <w:overflowPunct/>
        <w:topLinePunct w:val="0"/>
        <w:autoSpaceDE/>
        <w:autoSpaceDN/>
        <w:bidi w:val="0"/>
        <w:adjustRightInd/>
        <w:snapToGrid/>
        <w:spacing w:line="540" w:lineRule="exact"/>
        <w:textAlignment w:val="auto"/>
        <w:rPr>
          <w:rFonts w:ascii="仿宋_GB2312" w:hAnsi="仿宋_GB2312" w:eastAsia="仿宋_GB2312" w:cs="仿宋_GB2312"/>
          <w:bCs/>
          <w:snapToGrid w:val="0"/>
          <w:spacing w:val="0"/>
          <w:sz w:val="28"/>
          <w:szCs w:val="28"/>
        </w:rPr>
      </w:pPr>
      <w:r>
        <w:rPr>
          <w:rFonts w:hint="eastAsia" w:ascii="仿宋_GB2312" w:hAnsi="仿宋_GB2312" w:eastAsia="仿宋_GB2312" w:cs="仿宋_GB2312"/>
          <w:bCs/>
          <w:snapToGrid w:val="0"/>
          <w:spacing w:val="0"/>
          <w:sz w:val="28"/>
          <w:szCs w:val="28"/>
        </w:rPr>
        <w:t>持续</w:t>
      </w:r>
      <w:r>
        <w:rPr>
          <w:rFonts w:ascii="仿宋_GB2312" w:hAnsi="仿宋_GB2312" w:eastAsia="仿宋_GB2312" w:cs="仿宋_GB2312"/>
          <w:bCs/>
          <w:snapToGrid w:val="0"/>
          <w:spacing w:val="0"/>
          <w:sz w:val="28"/>
          <w:szCs w:val="28"/>
        </w:rPr>
        <w:t>完善教育经费投入使用管理体制机制，加大教育投入，调整优化支出结构，</w:t>
      </w:r>
      <w:r>
        <w:rPr>
          <w:rFonts w:hint="eastAsia" w:ascii="仿宋_GB2312" w:hAnsi="仿宋_GB2312" w:eastAsia="仿宋_GB2312" w:cs="仿宋_GB2312"/>
          <w:bCs/>
          <w:snapToGrid w:val="0"/>
          <w:spacing w:val="0"/>
          <w:sz w:val="28"/>
          <w:szCs w:val="28"/>
        </w:rPr>
        <w:t>切实提高教育资源配置效率和使用效益。</w:t>
      </w:r>
      <w:r>
        <w:rPr>
          <w:rFonts w:ascii="仿宋_GB2312" w:hAnsi="仿宋_GB2312" w:eastAsia="仿宋_GB2312" w:cs="仿宋_GB2312"/>
          <w:bCs/>
          <w:snapToGrid w:val="0"/>
          <w:spacing w:val="0"/>
          <w:sz w:val="28"/>
          <w:szCs w:val="28"/>
        </w:rPr>
        <w:t>强化教育资助体系建设，实</w:t>
      </w:r>
      <w:r>
        <w:rPr>
          <w:rFonts w:hint="eastAsia" w:ascii="仿宋_GB2312" w:hAnsi="仿宋_GB2312" w:eastAsia="仿宋_GB2312" w:cs="仿宋_GB2312"/>
          <w:bCs/>
          <w:snapToGrid w:val="0"/>
          <w:spacing w:val="0"/>
          <w:sz w:val="28"/>
          <w:szCs w:val="28"/>
        </w:rPr>
        <w:t>现</w:t>
      </w:r>
      <w:r>
        <w:rPr>
          <w:rFonts w:ascii="仿宋_GB2312" w:hAnsi="仿宋_GB2312" w:eastAsia="仿宋_GB2312" w:cs="仿宋_GB2312"/>
          <w:bCs/>
          <w:snapToGrid w:val="0"/>
          <w:spacing w:val="0"/>
          <w:sz w:val="28"/>
          <w:szCs w:val="28"/>
        </w:rPr>
        <w:t>教育资助全覆盖。</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outlineLvl w:val="1"/>
        <w:rPr>
          <w:rFonts w:ascii="楷体" w:hAnsi="楷体" w:eastAsia="楷体" w:cs="楷体"/>
          <w:snapToGrid w:val="0"/>
          <w:spacing w:val="0"/>
          <w:kern w:val="0"/>
          <w:sz w:val="30"/>
          <w:szCs w:val="30"/>
        </w:rPr>
      </w:pPr>
      <w:bookmarkStart w:id="151" w:name="_Toc26883"/>
      <w:bookmarkStart w:id="152" w:name="_Toc30185"/>
      <w:r>
        <w:rPr>
          <w:rFonts w:hint="eastAsia" w:ascii="楷体" w:hAnsi="楷体" w:eastAsia="楷体" w:cs="楷体"/>
          <w:snapToGrid w:val="0"/>
          <w:spacing w:val="0"/>
          <w:kern w:val="0"/>
          <w:sz w:val="30"/>
          <w:szCs w:val="30"/>
        </w:rPr>
        <w:t>（一）完善教育投入保障机制</w:t>
      </w:r>
      <w:bookmarkEnd w:id="151"/>
      <w:bookmarkEnd w:id="152"/>
    </w:p>
    <w:p>
      <w:pPr>
        <w:pStyle w:val="2"/>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bCs/>
          <w:snapToGrid w:val="0"/>
          <w:spacing w:val="0"/>
          <w:sz w:val="28"/>
          <w:szCs w:val="28"/>
        </w:rPr>
      </w:pPr>
      <w:r>
        <w:rPr>
          <w:rFonts w:ascii="仿宋_GB2312" w:hAnsi="仿宋_GB2312" w:eastAsia="仿宋_GB2312" w:cs="仿宋_GB2312"/>
          <w:bCs/>
          <w:snapToGrid w:val="0"/>
          <w:spacing w:val="0"/>
          <w:sz w:val="28"/>
          <w:szCs w:val="28"/>
        </w:rPr>
        <w:t>落实教育优先发展战略。财政资金优先保障教育事业发展需要，确保一般公共预算教育支出逐年只增不减，确保按在校学生人数平均的一般公共预算教育支出逐年只增不减。科学划分</w:t>
      </w:r>
      <w:r>
        <w:rPr>
          <w:rFonts w:hint="eastAsia" w:ascii="仿宋_GB2312" w:hAnsi="仿宋_GB2312" w:eastAsia="仿宋_GB2312" w:cs="仿宋_GB2312"/>
          <w:bCs/>
          <w:snapToGrid w:val="0"/>
          <w:spacing w:val="0"/>
          <w:sz w:val="28"/>
          <w:szCs w:val="28"/>
        </w:rPr>
        <w:t>市、县</w:t>
      </w:r>
      <w:r>
        <w:rPr>
          <w:rFonts w:ascii="仿宋_GB2312" w:hAnsi="仿宋_GB2312" w:eastAsia="仿宋_GB2312" w:cs="仿宋_GB2312"/>
          <w:bCs/>
          <w:snapToGrid w:val="0"/>
          <w:spacing w:val="0"/>
          <w:sz w:val="28"/>
          <w:szCs w:val="28"/>
        </w:rPr>
        <w:t>教育领域财政事权与支出责任，建立财政教育支出完成情况动态监测和考核机制，确保各级政府落实投入责任。落实教育费附加、地方教育附加和从土地出让收益中按比例计提教育资金等教育投入政策，严格落实使用管理有关规定。完善各级各类教育生均拨款制度体系、完善非义务教育阶段成本分担机制，推动建立与生均拨款、资助水平等相适应的教育收费标准动态调整机制。优化教育捐赠配比等奖励扶持政策，引导更多社会资本投入教育领域。积极推动高等学校和普通高中债务化解，鼓励学校通过盘活闲置资产化解债务。</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outlineLvl w:val="1"/>
        <w:rPr>
          <w:rFonts w:ascii="楷体" w:hAnsi="楷体" w:eastAsia="楷体" w:cs="楷体"/>
          <w:snapToGrid w:val="0"/>
          <w:spacing w:val="0"/>
          <w:kern w:val="0"/>
          <w:sz w:val="30"/>
          <w:szCs w:val="30"/>
        </w:rPr>
      </w:pPr>
      <w:bookmarkStart w:id="153" w:name="_Toc263"/>
      <w:bookmarkStart w:id="154" w:name="_Toc16869"/>
      <w:r>
        <w:rPr>
          <w:rFonts w:hint="eastAsia" w:ascii="楷体" w:hAnsi="楷体" w:eastAsia="楷体" w:cs="楷体"/>
          <w:snapToGrid w:val="0"/>
          <w:spacing w:val="0"/>
          <w:kern w:val="0"/>
          <w:sz w:val="30"/>
          <w:szCs w:val="30"/>
        </w:rPr>
        <w:t>（二）优化教育投入结构</w:t>
      </w:r>
      <w:bookmarkEnd w:id="153"/>
      <w:bookmarkEnd w:id="154"/>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napToGrid w:val="0"/>
          <w:spacing w:val="0"/>
          <w:sz w:val="28"/>
          <w:szCs w:val="28"/>
          <w:lang w:eastAsia="zh-CN"/>
        </w:rPr>
      </w:pPr>
      <w:r>
        <w:rPr>
          <w:rFonts w:hint="eastAsia" w:ascii="仿宋_GB2312" w:hAnsi="仿宋_GB2312" w:eastAsia="仿宋_GB2312" w:cs="仿宋_GB2312"/>
          <w:snapToGrid w:val="0"/>
          <w:spacing w:val="0"/>
          <w:sz w:val="28"/>
          <w:szCs w:val="28"/>
        </w:rPr>
        <w:t>科学规划</w:t>
      </w:r>
      <w:r>
        <w:rPr>
          <w:rFonts w:ascii="仿宋_GB2312" w:hAnsi="仿宋_GB2312" w:eastAsia="仿宋_GB2312" w:cs="仿宋_GB2312"/>
          <w:snapToGrid w:val="0"/>
          <w:spacing w:val="0"/>
          <w:sz w:val="28"/>
          <w:szCs w:val="28"/>
        </w:rPr>
        <w:t>教育投入，</w:t>
      </w:r>
      <w:r>
        <w:rPr>
          <w:rFonts w:hint="eastAsia" w:ascii="仿宋_GB2312" w:hAnsi="仿宋_GB2312" w:eastAsia="仿宋_GB2312" w:cs="仿宋_GB2312"/>
          <w:snapToGrid w:val="0"/>
          <w:spacing w:val="0"/>
          <w:sz w:val="28"/>
          <w:szCs w:val="28"/>
        </w:rPr>
        <w:t>完善教育政府拨款、学校收费、社会投入政策支持体系和制度保障体系，依法逐步提高各级财政支出总额中教育经费所占比例。加大教育经费统筹力度，整合优化经费使用方向，推动教育经费使用结构重心从规模扩张向质量提升、结构优化转移，从硬件设施建设向教育教学改革和教师队伍建设等转移，经费使用进一步向困难地区、关键领域和薄弱环节倾斜。优化财政支出结构，</w:t>
      </w:r>
      <w:r>
        <w:rPr>
          <w:rFonts w:ascii="仿宋_GB2312" w:hAnsi="仿宋_GB2312" w:eastAsia="仿宋_GB2312" w:cs="仿宋_GB2312"/>
          <w:snapToGrid w:val="0"/>
          <w:spacing w:val="0"/>
          <w:sz w:val="28"/>
          <w:szCs w:val="28"/>
        </w:rPr>
        <w:t>着力补齐教育发展短板，坚持把义务教育作为教育投入的重中之重，</w:t>
      </w:r>
      <w:r>
        <w:rPr>
          <w:rFonts w:hint="eastAsia" w:ascii="仿宋_GB2312" w:hAnsi="仿宋_GB2312" w:eastAsia="仿宋_GB2312" w:cs="仿宋_GB2312"/>
          <w:snapToGrid w:val="0"/>
          <w:spacing w:val="0"/>
          <w:sz w:val="28"/>
          <w:szCs w:val="28"/>
        </w:rPr>
        <w:t>把支持农村学校改薄、城镇教育扩容等作为公共财政重点支出。</w:t>
      </w:r>
      <w:r>
        <w:rPr>
          <w:rFonts w:ascii="仿宋_GB2312" w:hAnsi="仿宋_GB2312" w:eastAsia="仿宋_GB2312" w:cs="仿宋_GB2312"/>
          <w:snapToGrid w:val="0"/>
          <w:spacing w:val="0"/>
          <w:sz w:val="28"/>
          <w:szCs w:val="28"/>
        </w:rPr>
        <w:t>足额保障家庭经济困难学生资助资金。提高教师队伍建设保障水平，向乡村教师倾斜。</w:t>
      </w:r>
      <w:r>
        <w:rPr>
          <w:rFonts w:hint="eastAsia" w:ascii="仿宋_GB2312" w:hAnsi="仿宋_GB2312" w:eastAsia="仿宋_GB2312" w:cs="仿宋_GB2312"/>
          <w:snapToGrid w:val="0"/>
          <w:spacing w:val="0"/>
          <w:sz w:val="28"/>
          <w:szCs w:val="28"/>
        </w:rPr>
        <w:t>支持“十四五”期间各项教育工程的实施。加大教育教学改革投入。</w:t>
      </w:r>
      <w:r>
        <w:rPr>
          <w:rFonts w:hint="eastAsia" w:ascii="仿宋_GB2312" w:hAnsi="仿宋_GB2312" w:eastAsia="仿宋_GB2312" w:cs="仿宋_GB2312"/>
          <w:snapToGrid w:val="0"/>
          <w:spacing w:val="0"/>
          <w:sz w:val="28"/>
          <w:szCs w:val="28"/>
          <w:lang w:eastAsia="zh-CN"/>
        </w:rPr>
        <w:t>设立教育发展基金会，鼓励企业家和爱心人士捐资助学。</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outlineLvl w:val="1"/>
        <w:rPr>
          <w:rFonts w:ascii="楷体" w:hAnsi="楷体" w:eastAsia="楷体" w:cs="楷体"/>
          <w:snapToGrid w:val="0"/>
          <w:spacing w:val="0"/>
          <w:kern w:val="0"/>
          <w:sz w:val="30"/>
          <w:szCs w:val="30"/>
        </w:rPr>
      </w:pPr>
      <w:bookmarkStart w:id="155" w:name="_Toc1406"/>
      <w:bookmarkStart w:id="156" w:name="_Toc30161"/>
      <w:r>
        <w:rPr>
          <w:rFonts w:hint="eastAsia" w:ascii="楷体" w:hAnsi="楷体" w:eastAsia="楷体" w:cs="楷体"/>
          <w:snapToGrid w:val="0"/>
          <w:spacing w:val="0"/>
          <w:kern w:val="0"/>
          <w:sz w:val="30"/>
          <w:szCs w:val="30"/>
        </w:rPr>
        <w:t>（三）强化教育资助体系建设</w:t>
      </w:r>
      <w:bookmarkEnd w:id="155"/>
      <w:bookmarkEnd w:id="156"/>
    </w:p>
    <w:p>
      <w:pPr>
        <w:pStyle w:val="2"/>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bCs/>
          <w:snapToGrid w:val="0"/>
          <w:spacing w:val="0"/>
          <w:sz w:val="28"/>
          <w:szCs w:val="28"/>
        </w:rPr>
      </w:pPr>
      <w:r>
        <w:rPr>
          <w:rFonts w:hint="eastAsia" w:ascii="仿宋_GB2312" w:hAnsi="仿宋_GB2312" w:eastAsia="仿宋_GB2312" w:cs="仿宋_GB2312"/>
          <w:bCs/>
          <w:snapToGrid w:val="0"/>
          <w:spacing w:val="0"/>
          <w:sz w:val="28"/>
          <w:szCs w:val="28"/>
        </w:rPr>
        <w:t>加强教育资助工作。完善资助政策体系，健全学前教育、助学贷款和退役士兵学生资助政策。完善学生资助标准动态调整机制，从制度上保障不让一个学生因家庭经济困难而失学。推进精准资助，健全巩固拓展教育脱贫攻坚成果成效机制，落实过渡期“四个不摘”要求，对易返贫致贫家庭子女给予重点关注和帮扶。深化资助育人，加强对家庭经济困难学生的思想政治教育、学业指导、心理疏导、就业帮扶，逐步推进保障型资助向发展型资助转变，开展好“诚信校园行”系列活动。规范资助管理，严格资助资金监管，加强资助机构队伍建设，提高资助信息化水平。</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outlineLvl w:val="1"/>
        <w:rPr>
          <w:rFonts w:ascii="楷体" w:hAnsi="楷体" w:eastAsia="楷体" w:cs="楷体"/>
          <w:snapToGrid w:val="0"/>
          <w:spacing w:val="0"/>
          <w:kern w:val="0"/>
          <w:sz w:val="30"/>
          <w:szCs w:val="30"/>
        </w:rPr>
      </w:pPr>
      <w:bookmarkStart w:id="157" w:name="_Toc21048"/>
      <w:bookmarkStart w:id="158" w:name="_Toc21224"/>
      <w:r>
        <w:rPr>
          <w:rFonts w:hint="eastAsia" w:ascii="楷体" w:hAnsi="楷体" w:eastAsia="楷体" w:cs="楷体"/>
          <w:snapToGrid w:val="0"/>
          <w:spacing w:val="0"/>
          <w:kern w:val="0"/>
          <w:sz w:val="30"/>
          <w:szCs w:val="30"/>
        </w:rPr>
        <w:t>（四）提高教育经费使用效益</w:t>
      </w:r>
      <w:bookmarkEnd w:id="157"/>
      <w:bookmarkEnd w:id="158"/>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snapToGrid w:val="0"/>
          <w:spacing w:val="0"/>
          <w:sz w:val="28"/>
          <w:szCs w:val="28"/>
        </w:rPr>
      </w:pPr>
      <w:r>
        <w:rPr>
          <w:rFonts w:ascii="仿宋_GB2312" w:hAnsi="仿宋_GB2312" w:eastAsia="仿宋_GB2312" w:cs="仿宋_GB2312"/>
          <w:bCs/>
          <w:snapToGrid w:val="0"/>
          <w:spacing w:val="0"/>
          <w:sz w:val="28"/>
          <w:szCs w:val="28"/>
        </w:rPr>
        <w:t>全面实施预算绩效管理。将绩效管理范围覆盖所有财政教育资金，融入预算编制、执行、监督全过程，加强绩效评价结果运用，激发绩效管理的内生动力。</w:t>
      </w:r>
      <w:r>
        <w:rPr>
          <w:rFonts w:hint="eastAsia" w:ascii="仿宋_GB2312" w:hAnsi="仿宋_GB2312" w:eastAsia="仿宋_GB2312" w:cs="仿宋_GB2312"/>
          <w:bCs/>
          <w:snapToGrid w:val="0"/>
          <w:spacing w:val="0"/>
          <w:sz w:val="28"/>
          <w:szCs w:val="28"/>
        </w:rPr>
        <w:t>强化对教育经费投入与使用的专项督导，按照教育经费法定增长要求，将财政教育资金投入增长情况列入政府目标。</w:t>
      </w:r>
      <w:r>
        <w:rPr>
          <w:rFonts w:ascii="仿宋_GB2312" w:hAnsi="仿宋_GB2312" w:eastAsia="仿宋_GB2312" w:cs="仿宋_GB2312"/>
          <w:bCs/>
          <w:snapToGrid w:val="0"/>
          <w:spacing w:val="0"/>
          <w:sz w:val="28"/>
          <w:szCs w:val="28"/>
        </w:rPr>
        <w:t>加强教育内部审计，</w:t>
      </w:r>
      <w:r>
        <w:rPr>
          <w:rFonts w:hint="eastAsia" w:ascii="仿宋_GB2312" w:hAnsi="仿宋_GB2312" w:eastAsia="仿宋_GB2312" w:cs="仿宋_GB2312"/>
          <w:bCs/>
          <w:snapToGrid w:val="0"/>
          <w:spacing w:val="0"/>
          <w:sz w:val="28"/>
          <w:szCs w:val="28"/>
        </w:rPr>
        <w:t>继续实施领导干部经济责任审计、预算执行和财政财务收支审计，实施专项资金审计。推进学校财务信息公开，主动接受社会监督，建立市、县区教育经费统计公告制度。坚持厉行勤俭节约办教育。建立健全国有资产管理体制机制，建立覆盖所有国有资产管理内容和管理流程的内部控制体系。按照节约高效、公开透明的原则依法依规做好资产配置，推进资产绩效管理工作，建立长期低效运转和闲置资产调剂机制。明确国有资产有偿使用规范，依法管理有偿使用收益。</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snapToGrid w:val="0"/>
          <w:spacing w:val="0"/>
          <w:sz w:val="28"/>
          <w:szCs w:val="28"/>
        </w:rPr>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
        <w:gridCol w:w="7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8387" w:type="dxa"/>
            <w:gridSpan w:val="2"/>
          </w:tcPr>
          <w:p>
            <w:pPr>
              <w:pStyle w:val="7"/>
              <w:keepNext w:val="0"/>
              <w:keepLines w:val="0"/>
              <w:pageBreakBefore w:val="0"/>
              <w:widowControl w:val="0"/>
              <w:kinsoku/>
              <w:wordWrap/>
              <w:overflowPunct/>
              <w:topLinePunct w:val="0"/>
              <w:autoSpaceDE/>
              <w:autoSpaceDN/>
              <w:bidi w:val="0"/>
              <w:adjustRightInd/>
              <w:snapToGrid/>
              <w:spacing w:line="540" w:lineRule="exact"/>
              <w:ind w:firstLine="2248" w:firstLineChars="800"/>
              <w:jc w:val="both"/>
              <w:textAlignment w:val="auto"/>
              <w:rPr>
                <w:rFonts w:ascii="楷体" w:hAnsi="楷体" w:eastAsia="楷体" w:cs="仿宋_GB2312"/>
                <w:b/>
                <w:snapToGrid w:val="0"/>
                <w:spacing w:val="0"/>
                <w:sz w:val="28"/>
                <w:szCs w:val="28"/>
              </w:rPr>
            </w:pPr>
            <w:r>
              <w:rPr>
                <w:rFonts w:hint="eastAsia" w:ascii="黑体" w:hAnsi="黑体" w:eastAsia="黑体" w:cs="黑体"/>
                <w:b/>
                <w:bCs/>
                <w:snapToGrid w:val="0"/>
                <w:color w:val="000000"/>
                <w:spacing w:val="0"/>
                <w:kern w:val="0"/>
                <w:sz w:val="28"/>
                <w:szCs w:val="28"/>
              </w:rPr>
              <w:t>专栏</w:t>
            </w:r>
            <w:r>
              <w:rPr>
                <w:rFonts w:hint="eastAsia" w:ascii="黑体" w:hAnsi="黑体" w:eastAsia="黑体" w:cs="黑体"/>
                <w:b/>
                <w:bCs/>
                <w:snapToGrid w:val="0"/>
                <w:color w:val="000000"/>
                <w:spacing w:val="0"/>
                <w:kern w:val="0"/>
                <w:sz w:val="28"/>
                <w:szCs w:val="28"/>
                <w:lang w:val="en-US" w:eastAsia="zh-CN"/>
              </w:rPr>
              <w:t>9</w:t>
            </w:r>
            <w:r>
              <w:rPr>
                <w:rFonts w:hint="eastAsia" w:ascii="黑体" w:hAnsi="黑体" w:eastAsia="黑体" w:cs="黑体"/>
                <w:b/>
                <w:bCs/>
                <w:snapToGrid w:val="0"/>
                <w:color w:val="000000"/>
                <w:spacing w:val="0"/>
                <w:kern w:val="0"/>
                <w:sz w:val="28"/>
                <w:szCs w:val="28"/>
              </w:rPr>
              <w:t>教育保障能力提升工程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trPr>
        <w:tc>
          <w:tcPr>
            <w:tcW w:w="860" w:type="dxa"/>
          </w:tcPr>
          <w:p>
            <w:pPr>
              <w:pStyle w:val="7"/>
              <w:keepNext w:val="0"/>
              <w:keepLines w:val="0"/>
              <w:pageBreakBefore w:val="0"/>
              <w:widowControl w:val="0"/>
              <w:kinsoku/>
              <w:wordWrap/>
              <w:overflowPunct/>
              <w:topLinePunct w:val="0"/>
              <w:autoSpaceDE/>
              <w:autoSpaceDN/>
              <w:bidi w:val="0"/>
              <w:adjustRightInd/>
              <w:snapToGrid/>
              <w:spacing w:line="320" w:lineRule="exact"/>
              <w:textAlignment w:val="auto"/>
              <w:rPr>
                <w:rFonts w:ascii="楷体" w:hAnsi="楷体" w:eastAsia="楷体" w:cs="楷体"/>
                <w:snapToGrid w:val="0"/>
                <w:spacing w:val="0"/>
                <w:sz w:val="24"/>
                <w:szCs w:val="24"/>
              </w:rPr>
            </w:pPr>
            <w:r>
              <w:rPr>
                <w:rFonts w:hint="eastAsia" w:ascii="楷体" w:hAnsi="楷体" w:eastAsia="楷体" w:cs="楷体"/>
                <w:snapToGrid w:val="0"/>
                <w:spacing w:val="0"/>
                <w:sz w:val="24"/>
                <w:szCs w:val="24"/>
              </w:rPr>
              <w:t>民办学校章程建</w:t>
            </w:r>
            <w:r>
              <w:rPr>
                <w:rFonts w:hint="eastAsia" w:ascii="楷体" w:hAnsi="楷体" w:eastAsia="楷体" w:cs="楷体"/>
                <w:snapToGrid w:val="0"/>
                <w:spacing w:val="0"/>
                <w:sz w:val="24"/>
                <w:szCs w:val="24"/>
                <w:lang w:val="en-US" w:eastAsia="zh-CN"/>
              </w:rPr>
              <w:t xml:space="preserve"> </w:t>
            </w:r>
            <w:r>
              <w:rPr>
                <w:rFonts w:hint="eastAsia" w:ascii="楷体" w:hAnsi="楷体" w:eastAsia="楷体" w:cs="楷体"/>
                <w:snapToGrid w:val="0"/>
                <w:spacing w:val="0"/>
                <w:sz w:val="24"/>
                <w:szCs w:val="24"/>
              </w:rPr>
              <w:t>设</w:t>
            </w:r>
          </w:p>
        </w:tc>
        <w:tc>
          <w:tcPr>
            <w:tcW w:w="7527" w:type="dxa"/>
          </w:tcPr>
          <w:p>
            <w:pPr>
              <w:pStyle w:val="7"/>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ascii="楷体" w:hAnsi="楷体" w:eastAsia="楷体" w:cs="楷体"/>
                <w:snapToGrid w:val="0"/>
                <w:spacing w:val="0"/>
                <w:sz w:val="24"/>
                <w:szCs w:val="24"/>
              </w:rPr>
            </w:pPr>
            <w:r>
              <w:rPr>
                <w:rFonts w:hint="eastAsia" w:ascii="楷体" w:hAnsi="楷体" w:eastAsia="楷体" w:cs="楷体"/>
                <w:snapToGrid w:val="0"/>
                <w:spacing w:val="0"/>
                <w:sz w:val="24"/>
                <w:szCs w:val="24"/>
              </w:rPr>
              <w:t>开展民办学校章程指导修订核准工作，形成以章程为核心的，健全、规范的学校管理内部制度。加强章程的执行监督，提升学校依法治校水平，确保把党组织建设有关内容纳入学校章程，明确党组织的地位作用、经费保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860" w:type="dxa"/>
          </w:tcPr>
          <w:p>
            <w:pPr>
              <w:pStyle w:val="7"/>
              <w:keepNext w:val="0"/>
              <w:keepLines w:val="0"/>
              <w:pageBreakBefore w:val="0"/>
              <w:widowControl w:val="0"/>
              <w:kinsoku/>
              <w:wordWrap/>
              <w:overflowPunct/>
              <w:topLinePunct w:val="0"/>
              <w:autoSpaceDE/>
              <w:autoSpaceDN/>
              <w:bidi w:val="0"/>
              <w:adjustRightInd/>
              <w:snapToGrid/>
              <w:spacing w:line="320" w:lineRule="exact"/>
              <w:textAlignment w:val="auto"/>
              <w:rPr>
                <w:rFonts w:ascii="楷体" w:hAnsi="楷体" w:eastAsia="楷体" w:cs="楷体"/>
                <w:snapToGrid w:val="0"/>
                <w:spacing w:val="0"/>
                <w:sz w:val="24"/>
                <w:szCs w:val="24"/>
              </w:rPr>
            </w:pPr>
            <w:r>
              <w:rPr>
                <w:rFonts w:hint="eastAsia" w:ascii="楷体" w:hAnsi="楷体" w:eastAsia="楷体" w:cs="楷体"/>
                <w:snapToGrid w:val="0"/>
                <w:spacing w:val="0"/>
                <w:sz w:val="24"/>
                <w:szCs w:val="24"/>
              </w:rPr>
              <w:t>教育经费保障工</w:t>
            </w:r>
            <w:r>
              <w:rPr>
                <w:rFonts w:hint="eastAsia" w:ascii="楷体" w:hAnsi="楷体" w:eastAsia="楷体" w:cs="楷体"/>
                <w:snapToGrid w:val="0"/>
                <w:spacing w:val="0"/>
                <w:sz w:val="24"/>
                <w:szCs w:val="24"/>
                <w:lang w:val="en-US" w:eastAsia="zh-CN"/>
              </w:rPr>
              <w:t xml:space="preserve"> </w:t>
            </w:r>
            <w:r>
              <w:rPr>
                <w:rFonts w:hint="eastAsia" w:ascii="楷体" w:hAnsi="楷体" w:eastAsia="楷体" w:cs="楷体"/>
                <w:snapToGrid w:val="0"/>
                <w:spacing w:val="0"/>
                <w:sz w:val="24"/>
                <w:szCs w:val="24"/>
              </w:rPr>
              <w:t>程</w:t>
            </w:r>
          </w:p>
        </w:tc>
        <w:tc>
          <w:tcPr>
            <w:tcW w:w="7527" w:type="dxa"/>
          </w:tcPr>
          <w:p>
            <w:pPr>
              <w:pStyle w:val="7"/>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ascii="楷体" w:hAnsi="楷体" w:eastAsia="楷体" w:cs="楷体"/>
                <w:snapToGrid w:val="0"/>
                <w:spacing w:val="0"/>
                <w:sz w:val="24"/>
                <w:szCs w:val="24"/>
              </w:rPr>
            </w:pPr>
            <w:r>
              <w:rPr>
                <w:rFonts w:hint="eastAsia" w:ascii="楷体" w:hAnsi="楷体" w:eastAsia="楷体" w:cs="楷体"/>
                <w:snapToGrid w:val="0"/>
                <w:spacing w:val="0"/>
                <w:sz w:val="24"/>
                <w:szCs w:val="24"/>
              </w:rPr>
              <w:t>不断加大财政对教育投入力度，将“两个只增不减”、各阶段生均拨款制度、教育费附加等教育投入政策的落实作为教育督导评价主要内容，建立财政教育定期监测、会商、约谈、问责机制，确保各级政府“两个只增不减”任务的全面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trPr>
        <w:tc>
          <w:tcPr>
            <w:tcW w:w="860" w:type="dxa"/>
          </w:tcPr>
          <w:p>
            <w:pPr>
              <w:pStyle w:val="7"/>
              <w:keepNext w:val="0"/>
              <w:keepLines w:val="0"/>
              <w:pageBreakBefore w:val="0"/>
              <w:widowControl w:val="0"/>
              <w:kinsoku/>
              <w:wordWrap/>
              <w:overflowPunct/>
              <w:topLinePunct w:val="0"/>
              <w:autoSpaceDE/>
              <w:autoSpaceDN/>
              <w:bidi w:val="0"/>
              <w:adjustRightInd/>
              <w:snapToGrid/>
              <w:spacing w:line="320" w:lineRule="exact"/>
              <w:textAlignment w:val="auto"/>
              <w:rPr>
                <w:rFonts w:ascii="楷体" w:hAnsi="楷体" w:eastAsia="楷体" w:cs="楷体"/>
                <w:snapToGrid w:val="0"/>
                <w:spacing w:val="0"/>
                <w:sz w:val="24"/>
                <w:szCs w:val="24"/>
              </w:rPr>
            </w:pPr>
            <w:r>
              <w:rPr>
                <w:rFonts w:hint="eastAsia" w:ascii="楷体" w:hAnsi="楷体" w:eastAsia="楷体" w:cs="楷体"/>
                <w:snapToGrid w:val="0"/>
                <w:spacing w:val="0"/>
                <w:sz w:val="24"/>
                <w:szCs w:val="24"/>
              </w:rPr>
              <w:t>完善学生资助体</w:t>
            </w:r>
            <w:r>
              <w:rPr>
                <w:rFonts w:hint="eastAsia" w:ascii="楷体" w:hAnsi="楷体" w:eastAsia="楷体" w:cs="楷体"/>
                <w:snapToGrid w:val="0"/>
                <w:spacing w:val="0"/>
                <w:sz w:val="24"/>
                <w:szCs w:val="24"/>
                <w:lang w:val="en-US" w:eastAsia="zh-CN"/>
              </w:rPr>
              <w:t xml:space="preserve"> </w:t>
            </w:r>
            <w:r>
              <w:rPr>
                <w:rFonts w:hint="eastAsia" w:ascii="楷体" w:hAnsi="楷体" w:eastAsia="楷体" w:cs="楷体"/>
                <w:snapToGrid w:val="0"/>
                <w:spacing w:val="0"/>
                <w:sz w:val="24"/>
                <w:szCs w:val="24"/>
              </w:rPr>
              <w:t>系</w:t>
            </w:r>
          </w:p>
        </w:tc>
        <w:tc>
          <w:tcPr>
            <w:tcW w:w="7527" w:type="dxa"/>
          </w:tcPr>
          <w:p>
            <w:pPr>
              <w:pStyle w:val="7"/>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ascii="楷体" w:hAnsi="楷体" w:eastAsia="楷体" w:cs="楷体"/>
                <w:snapToGrid w:val="0"/>
                <w:spacing w:val="0"/>
                <w:sz w:val="24"/>
                <w:szCs w:val="24"/>
              </w:rPr>
            </w:pPr>
            <w:r>
              <w:rPr>
                <w:rFonts w:hint="eastAsia" w:ascii="楷体" w:hAnsi="楷体" w:eastAsia="楷体" w:cs="楷体"/>
                <w:snapToGrid w:val="0"/>
                <w:spacing w:val="0"/>
                <w:sz w:val="24"/>
                <w:szCs w:val="24"/>
              </w:rPr>
              <w:t>落实国家、省、市多位一体的学生资助政策体系，重点保障建档立卡贫困家庭学生就学权益。优化学生资助绩效评价体系，定期对全市各级各类学校进行综合测评，每次评价覆盖率不少于30%。对接省级学生资助“一网通办”信息平台，强化资助工作的全流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trPr>
        <w:tc>
          <w:tcPr>
            <w:tcW w:w="860" w:type="dxa"/>
          </w:tcPr>
          <w:p>
            <w:pPr>
              <w:pStyle w:val="7"/>
              <w:keepNext w:val="0"/>
              <w:keepLines w:val="0"/>
              <w:pageBreakBefore w:val="0"/>
              <w:widowControl w:val="0"/>
              <w:kinsoku/>
              <w:wordWrap/>
              <w:overflowPunct/>
              <w:topLinePunct w:val="0"/>
              <w:autoSpaceDE/>
              <w:autoSpaceDN/>
              <w:bidi w:val="0"/>
              <w:adjustRightInd/>
              <w:snapToGrid/>
              <w:spacing w:line="320" w:lineRule="exact"/>
              <w:textAlignment w:val="auto"/>
              <w:rPr>
                <w:rFonts w:ascii="楷体" w:hAnsi="楷体" w:eastAsia="楷体" w:cs="楷体"/>
                <w:snapToGrid w:val="0"/>
                <w:spacing w:val="0"/>
                <w:sz w:val="24"/>
                <w:szCs w:val="24"/>
              </w:rPr>
            </w:pPr>
            <w:r>
              <w:rPr>
                <w:rFonts w:hint="eastAsia" w:ascii="楷体" w:hAnsi="楷体" w:eastAsia="楷体" w:cs="楷体"/>
                <w:snapToGrid w:val="0"/>
                <w:spacing w:val="0"/>
                <w:sz w:val="24"/>
                <w:szCs w:val="24"/>
              </w:rPr>
              <w:t>校园安全基础</w:t>
            </w:r>
            <w:r>
              <w:rPr>
                <w:rFonts w:hint="eastAsia" w:ascii="楷体" w:hAnsi="楷体" w:eastAsia="楷体" w:cs="楷体"/>
                <w:snapToGrid w:val="0"/>
                <w:spacing w:val="0"/>
                <w:sz w:val="24"/>
                <w:szCs w:val="24"/>
                <w:lang w:eastAsia="zh-CN"/>
              </w:rPr>
              <w:t>防</w:t>
            </w:r>
            <w:r>
              <w:rPr>
                <w:rFonts w:hint="eastAsia" w:ascii="楷体" w:hAnsi="楷体" w:eastAsia="楷体" w:cs="楷体"/>
                <w:snapToGrid w:val="0"/>
                <w:spacing w:val="0"/>
                <w:sz w:val="24"/>
                <w:szCs w:val="24"/>
              </w:rPr>
              <w:t>范工</w:t>
            </w:r>
            <w:r>
              <w:rPr>
                <w:rFonts w:hint="eastAsia" w:ascii="楷体" w:hAnsi="楷体" w:eastAsia="楷体" w:cs="楷体"/>
                <w:snapToGrid w:val="0"/>
                <w:spacing w:val="0"/>
                <w:sz w:val="24"/>
                <w:szCs w:val="24"/>
                <w:lang w:val="en-US" w:eastAsia="zh-CN"/>
              </w:rPr>
              <w:t xml:space="preserve"> </w:t>
            </w:r>
            <w:r>
              <w:rPr>
                <w:rFonts w:hint="eastAsia" w:ascii="楷体" w:hAnsi="楷体" w:eastAsia="楷体" w:cs="楷体"/>
                <w:snapToGrid w:val="0"/>
                <w:spacing w:val="0"/>
                <w:sz w:val="24"/>
                <w:szCs w:val="24"/>
              </w:rPr>
              <w:t>程</w:t>
            </w:r>
          </w:p>
        </w:tc>
        <w:tc>
          <w:tcPr>
            <w:tcW w:w="7527" w:type="dxa"/>
          </w:tcPr>
          <w:p>
            <w:pPr>
              <w:pStyle w:val="7"/>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ascii="楷体" w:hAnsi="楷体" w:eastAsia="楷体" w:cs="楷体"/>
                <w:snapToGrid w:val="0"/>
                <w:spacing w:val="0"/>
                <w:sz w:val="24"/>
                <w:szCs w:val="24"/>
              </w:rPr>
            </w:pPr>
            <w:r>
              <w:rPr>
                <w:rFonts w:hint="eastAsia" w:ascii="楷体" w:hAnsi="楷体" w:eastAsia="楷体" w:cs="楷体"/>
                <w:snapToGrid w:val="0"/>
                <w:spacing w:val="0"/>
                <w:sz w:val="24"/>
                <w:szCs w:val="24"/>
              </w:rPr>
              <w:t>强化学校人防物防技防建设，提升各级各类学校安全防范整体水平。落实国家校园安全防范建设规范和标准，制定驻马店市的具体实施方案。健全安全管理机构，配齐配好专兼职安全保卫人员。加强校园重点区域、重点场所、重点部位的视频监控、入侵报警、紧急联动等技防设施和信息化建设，构建系统、科学、智慧、高效的校园安全防范体系。</w:t>
            </w:r>
          </w:p>
        </w:tc>
      </w:tr>
    </w:tbl>
    <w:p>
      <w:pPr>
        <w:keepNext w:val="0"/>
        <w:keepLines w:val="0"/>
        <w:pageBreakBefore w:val="0"/>
        <w:kinsoku/>
        <w:wordWrap/>
        <w:overflowPunct/>
        <w:topLinePunct w:val="0"/>
        <w:autoSpaceDE/>
        <w:autoSpaceDN/>
        <w:bidi w:val="0"/>
        <w:adjustRightInd/>
        <w:snapToGrid/>
        <w:spacing w:line="540" w:lineRule="exact"/>
        <w:ind w:firstLine="642" w:firstLineChars="200"/>
        <w:textAlignment w:val="auto"/>
        <w:outlineLvl w:val="0"/>
        <w:rPr>
          <w:rFonts w:ascii="黑体" w:hAnsi="黑体" w:eastAsia="黑体" w:cs="黑体"/>
          <w:b/>
          <w:bCs/>
          <w:snapToGrid w:val="0"/>
          <w:spacing w:val="0"/>
          <w:sz w:val="32"/>
          <w:szCs w:val="32"/>
        </w:rPr>
      </w:pPr>
      <w:bookmarkStart w:id="159" w:name="_Toc15079"/>
      <w:bookmarkStart w:id="160" w:name="_Toc29556"/>
      <w:bookmarkStart w:id="161" w:name="_Toc12845"/>
      <w:bookmarkStart w:id="162" w:name="_Toc27317"/>
      <w:bookmarkStart w:id="163" w:name="_Toc24765"/>
      <w:bookmarkStart w:id="164" w:name="_Toc28865"/>
      <w:bookmarkStart w:id="165" w:name="_Toc9024"/>
      <w:bookmarkStart w:id="166" w:name="_Toc21842"/>
      <w:r>
        <w:rPr>
          <w:rFonts w:hint="eastAsia" w:ascii="黑体" w:hAnsi="黑体" w:eastAsia="黑体" w:cs="黑体"/>
          <w:b/>
          <w:bCs/>
          <w:snapToGrid w:val="0"/>
          <w:spacing w:val="0"/>
          <w:sz w:val="32"/>
          <w:szCs w:val="32"/>
        </w:rPr>
        <w:t>十</w:t>
      </w:r>
      <w:r>
        <w:rPr>
          <w:rFonts w:hint="eastAsia" w:ascii="黑体" w:hAnsi="黑体" w:eastAsia="黑体" w:cs="黑体"/>
          <w:b/>
          <w:bCs/>
          <w:snapToGrid w:val="0"/>
          <w:spacing w:val="0"/>
          <w:sz w:val="32"/>
          <w:szCs w:val="32"/>
          <w:lang w:eastAsia="zh-CN"/>
        </w:rPr>
        <w:t>四</w:t>
      </w:r>
      <w:r>
        <w:rPr>
          <w:rFonts w:hint="eastAsia" w:ascii="黑体" w:hAnsi="黑体" w:eastAsia="黑体" w:cs="黑体"/>
          <w:b/>
          <w:bCs/>
          <w:snapToGrid w:val="0"/>
          <w:spacing w:val="0"/>
          <w:sz w:val="32"/>
          <w:szCs w:val="32"/>
        </w:rPr>
        <w:t>、加强党对教育工作的全面领导</w:t>
      </w:r>
      <w:bookmarkEnd w:id="159"/>
      <w:bookmarkEnd w:id="160"/>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_GB2312" w:hAnsi="仿宋_GB2312" w:eastAsia="仿宋_GB2312" w:cs="仿宋_GB2312"/>
          <w:snapToGrid w:val="0"/>
          <w:spacing w:val="0"/>
          <w:sz w:val="28"/>
          <w:szCs w:val="28"/>
        </w:rPr>
      </w:pPr>
      <w:r>
        <w:rPr>
          <w:rFonts w:hint="eastAsia" w:ascii="仿宋_GB2312" w:hAnsi="仿宋_GB2312" w:eastAsia="仿宋_GB2312" w:cs="仿宋_GB2312"/>
          <w:snapToGrid w:val="0"/>
          <w:spacing w:val="0"/>
          <w:sz w:val="28"/>
          <w:szCs w:val="28"/>
        </w:rPr>
        <w:t>加强党对教育工作的全面领导，全面贯彻党的教育方针，坚持社会主义办学方向，</w:t>
      </w:r>
      <w:r>
        <w:rPr>
          <w:rFonts w:hint="eastAsia" w:ascii="仿宋_GB2312" w:hAnsi="仿宋_GB2312" w:eastAsia="仿宋_GB2312" w:cs="仿宋_GB2312"/>
          <w:snapToGrid w:val="0"/>
          <w:spacing w:val="0"/>
          <w:sz w:val="28"/>
          <w:szCs w:val="28"/>
          <w:lang w:eastAsia="zh-CN"/>
        </w:rPr>
        <w:t>稳步推进</w:t>
      </w:r>
      <w:r>
        <w:rPr>
          <w:rFonts w:hint="eastAsia" w:ascii="仿宋_GB2312" w:hAnsi="仿宋_GB2312" w:eastAsia="仿宋_GB2312" w:cs="仿宋_GB2312"/>
          <w:snapToGrid w:val="0"/>
          <w:spacing w:val="0"/>
          <w:sz w:val="28"/>
          <w:szCs w:val="28"/>
        </w:rPr>
        <w:t>中小学校党组织领导</w:t>
      </w:r>
      <w:r>
        <w:rPr>
          <w:rFonts w:hint="eastAsia" w:ascii="仿宋_GB2312" w:hAnsi="仿宋_GB2312" w:eastAsia="仿宋_GB2312" w:cs="仿宋_GB2312"/>
          <w:snapToGrid w:val="0"/>
          <w:spacing w:val="0"/>
          <w:sz w:val="28"/>
          <w:szCs w:val="28"/>
          <w:lang w:eastAsia="zh-CN"/>
        </w:rPr>
        <w:t>下</w:t>
      </w:r>
      <w:r>
        <w:rPr>
          <w:rFonts w:hint="eastAsia" w:ascii="仿宋_GB2312" w:hAnsi="仿宋_GB2312" w:eastAsia="仿宋_GB2312" w:cs="仿宋_GB2312"/>
          <w:snapToGrid w:val="0"/>
          <w:spacing w:val="0"/>
          <w:sz w:val="28"/>
          <w:szCs w:val="28"/>
        </w:rPr>
        <w:t>的校长负责制，营造风清气正的教育生态，努力办好人民满意的教育。</w:t>
      </w:r>
    </w:p>
    <w:p>
      <w:pPr>
        <w:keepNext w:val="0"/>
        <w:keepLines w:val="0"/>
        <w:pageBreakBefore w:val="0"/>
        <w:widowControl/>
        <w:kinsoku/>
        <w:wordWrap/>
        <w:overflowPunct/>
        <w:topLinePunct w:val="0"/>
        <w:autoSpaceDE/>
        <w:autoSpaceDN/>
        <w:bidi w:val="0"/>
        <w:adjustRightInd/>
        <w:snapToGrid/>
        <w:spacing w:line="540" w:lineRule="exact"/>
        <w:ind w:firstLine="600" w:firstLineChars="200"/>
        <w:jc w:val="left"/>
        <w:textAlignment w:val="auto"/>
        <w:outlineLvl w:val="1"/>
        <w:rPr>
          <w:rFonts w:ascii="楷体" w:hAnsi="楷体" w:eastAsia="楷体" w:cs="楷体"/>
          <w:snapToGrid w:val="0"/>
          <w:spacing w:val="0"/>
          <w:kern w:val="0"/>
          <w:sz w:val="30"/>
          <w:szCs w:val="30"/>
        </w:rPr>
      </w:pPr>
      <w:bookmarkStart w:id="167" w:name="_Toc5110"/>
      <w:bookmarkStart w:id="168" w:name="_Toc27595"/>
      <w:r>
        <w:rPr>
          <w:rFonts w:hint="eastAsia" w:ascii="楷体" w:hAnsi="楷体" w:eastAsia="楷体" w:cs="楷体"/>
          <w:snapToGrid w:val="0"/>
          <w:spacing w:val="0"/>
          <w:kern w:val="0"/>
          <w:sz w:val="30"/>
          <w:szCs w:val="30"/>
        </w:rPr>
        <w:t>（一）牢牢掌握党对教育工作的领导权</w:t>
      </w:r>
      <w:bookmarkEnd w:id="167"/>
      <w:bookmarkEnd w:id="168"/>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_GB2312" w:hAnsi="仿宋_GB2312" w:eastAsia="仿宋_GB2312" w:cs="仿宋_GB2312"/>
          <w:snapToGrid w:val="0"/>
          <w:spacing w:val="0"/>
          <w:sz w:val="28"/>
          <w:szCs w:val="28"/>
        </w:rPr>
      </w:pPr>
      <w:r>
        <w:rPr>
          <w:rFonts w:hint="eastAsia" w:ascii="仿宋_GB2312" w:hAnsi="仿宋_GB2312" w:eastAsia="仿宋_GB2312" w:cs="仿宋_GB2312"/>
          <w:snapToGrid w:val="0"/>
          <w:spacing w:val="0"/>
          <w:sz w:val="28"/>
          <w:szCs w:val="28"/>
        </w:rPr>
        <w:t>教育必须为社会主义现代化建设服务、为人民服务，必须与生产劳动和社会实践相结合，培养德智体美劳全面发展的社会主义建设者和接班人。健全完善党委统一领导、党政齐抓共管、部门各负其责的教育领导体制，完善各级党委和政府定期研究教育工作机制。党政主要负责同志熟悉教育、关心教育、研究教育，深入教育一线调研、为师生上思政课，健全党政领导联系学校制度，完善年终述职必述教育工作制度。坚持党管办学方向、管改革发展、管干部、管人才，把教育改革发展纳入各级党委议事日程。巩固深化各类学习教育成果，推动学习教育常态化制度化，形成落实党的领导纵向到底、横向到边、全面覆盖的工作格局。牢牢把握学校意识形态工作领导权、管理权、话语权，落实意识形态工作责任制，建立健全意识形态工作体制机制，强化意识形态阵地管理。掌握校园网络意识形态工作主导权，从严管理校内各类新媒体平台。坚决防范和抵御各类非法传教、渗透活动。</w:t>
      </w:r>
    </w:p>
    <w:p>
      <w:pPr>
        <w:keepNext w:val="0"/>
        <w:keepLines w:val="0"/>
        <w:pageBreakBefore w:val="0"/>
        <w:widowControl/>
        <w:kinsoku/>
        <w:wordWrap/>
        <w:overflowPunct/>
        <w:topLinePunct w:val="0"/>
        <w:autoSpaceDE/>
        <w:autoSpaceDN/>
        <w:bidi w:val="0"/>
        <w:adjustRightInd/>
        <w:snapToGrid/>
        <w:spacing w:line="540" w:lineRule="exact"/>
        <w:ind w:firstLine="600" w:firstLineChars="200"/>
        <w:jc w:val="left"/>
        <w:textAlignment w:val="auto"/>
        <w:outlineLvl w:val="1"/>
        <w:rPr>
          <w:rFonts w:ascii="楷体" w:hAnsi="楷体" w:eastAsia="楷体" w:cs="楷体"/>
          <w:snapToGrid w:val="0"/>
          <w:spacing w:val="0"/>
          <w:kern w:val="0"/>
          <w:sz w:val="30"/>
          <w:szCs w:val="30"/>
        </w:rPr>
      </w:pPr>
      <w:bookmarkStart w:id="169" w:name="_Toc4198"/>
      <w:bookmarkStart w:id="170" w:name="_Toc12420"/>
      <w:r>
        <w:rPr>
          <w:rFonts w:hint="eastAsia" w:ascii="楷体" w:hAnsi="楷体" w:eastAsia="楷体" w:cs="楷体"/>
          <w:snapToGrid w:val="0"/>
          <w:spacing w:val="0"/>
          <w:kern w:val="0"/>
          <w:sz w:val="30"/>
          <w:szCs w:val="30"/>
        </w:rPr>
        <w:t>（二）贯彻落实党的教育方针</w:t>
      </w:r>
      <w:bookmarkEnd w:id="169"/>
      <w:bookmarkEnd w:id="170"/>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ascii="仿宋_GB2312" w:hAnsi="仿宋_GB2312" w:eastAsia="仿宋_GB2312" w:cs="仿宋_GB2312"/>
          <w:snapToGrid w:val="0"/>
          <w:spacing w:val="0"/>
          <w:sz w:val="28"/>
          <w:szCs w:val="28"/>
        </w:rPr>
      </w:pPr>
      <w:r>
        <w:rPr>
          <w:rFonts w:hint="eastAsia" w:ascii="仿宋_GB2312" w:hAnsi="仿宋_GB2312" w:eastAsia="仿宋_GB2312" w:cs="仿宋_GB2312"/>
          <w:snapToGrid w:val="0"/>
          <w:spacing w:val="0"/>
          <w:sz w:val="28"/>
          <w:szCs w:val="28"/>
        </w:rPr>
        <w:t>完整准确领会党的教育方针，深刻把握教育工作的宗旨方向，坚持教育为人民服务、为中国共产党治国理政服务、为巩固和发展中国特色社会主义制度服务、为改革开放和社会主义现代化建设服务。坚持教育公益性原则，坚持以人民为中心发展教育，履行好服务中华民族伟大复兴的重要使命。将党的教育方针的学习和贯彻落实，纳入教育系统各级党委（党组）理论学习中心组学习研讨的重要内容，列为各级党政干部教育学习培训专题内容，推动各级领导干部深入领会党的教育方针科学内涵、核心要义和精神实质，融入教育行政管理、办学治校和教育教学全过程，推动党的教育方针成为广大教育工作者耳熟能详、自觉运用的日常规范。</w:t>
      </w:r>
    </w:p>
    <w:p>
      <w:pPr>
        <w:keepNext w:val="0"/>
        <w:keepLines w:val="0"/>
        <w:pageBreakBefore w:val="0"/>
        <w:widowControl/>
        <w:kinsoku/>
        <w:wordWrap/>
        <w:overflowPunct/>
        <w:topLinePunct w:val="0"/>
        <w:autoSpaceDE/>
        <w:autoSpaceDN/>
        <w:bidi w:val="0"/>
        <w:adjustRightInd/>
        <w:snapToGrid/>
        <w:spacing w:line="540" w:lineRule="exact"/>
        <w:ind w:firstLine="600" w:firstLineChars="200"/>
        <w:jc w:val="left"/>
        <w:textAlignment w:val="auto"/>
        <w:outlineLvl w:val="1"/>
        <w:rPr>
          <w:rFonts w:ascii="楷体" w:hAnsi="楷体" w:eastAsia="楷体" w:cs="楷体"/>
          <w:bCs/>
          <w:snapToGrid w:val="0"/>
          <w:spacing w:val="0"/>
          <w:kern w:val="0"/>
          <w:sz w:val="30"/>
          <w:szCs w:val="30"/>
        </w:rPr>
      </w:pPr>
      <w:bookmarkStart w:id="171" w:name="_Toc26125"/>
      <w:bookmarkStart w:id="172" w:name="_Toc366"/>
      <w:r>
        <w:rPr>
          <w:rFonts w:hint="eastAsia" w:ascii="楷体" w:hAnsi="楷体" w:eastAsia="楷体" w:cs="楷体"/>
          <w:snapToGrid w:val="0"/>
          <w:spacing w:val="0"/>
          <w:kern w:val="0"/>
          <w:sz w:val="30"/>
          <w:szCs w:val="30"/>
        </w:rPr>
        <w:t>（三）全面加强教育系统党的建设</w:t>
      </w:r>
      <w:bookmarkEnd w:id="171"/>
      <w:bookmarkEnd w:id="172"/>
    </w:p>
    <w:p>
      <w:pPr>
        <w:pStyle w:val="7"/>
        <w:keepNext w:val="0"/>
        <w:keepLines w:val="0"/>
        <w:pageBreakBefore w:val="0"/>
        <w:kinsoku/>
        <w:wordWrap/>
        <w:overflowPunct/>
        <w:topLinePunct w:val="0"/>
        <w:autoSpaceDE/>
        <w:autoSpaceDN/>
        <w:bidi w:val="0"/>
        <w:adjustRightInd/>
        <w:snapToGrid/>
        <w:spacing w:after="0" w:line="540" w:lineRule="exact"/>
        <w:ind w:firstLine="560" w:firstLineChars="200"/>
        <w:textAlignment w:val="auto"/>
        <w:rPr>
          <w:rFonts w:ascii="仿宋_GB2312" w:hAnsi="仿宋_GB2312" w:eastAsia="仿宋_GB2312" w:cs="仿宋_GB2312"/>
          <w:snapToGrid w:val="0"/>
          <w:spacing w:val="0"/>
          <w:sz w:val="28"/>
          <w:szCs w:val="28"/>
        </w:rPr>
      </w:pPr>
      <w:r>
        <w:rPr>
          <w:rFonts w:hint="eastAsia" w:ascii="仿宋_GB2312" w:hAnsi="仿宋_GB2312" w:eastAsia="仿宋_GB2312" w:cs="仿宋_GB2312"/>
          <w:snapToGrid w:val="0"/>
          <w:spacing w:val="0"/>
          <w:sz w:val="28"/>
          <w:szCs w:val="28"/>
        </w:rPr>
        <w:t>坚持把党的政治建设摆在首位，不断加强各级各类学校党建工作。推进中小学校党组织建设全面、有效覆盖，公办中小学校实现“每校必建”，民办中小学校实现“应建必建”。进一步完善高校党委领导下的校长负责制。加强各级各类学校党建工作标准化、规范化建设，深入开展中小学校党建工作示范校创建，继续推动实施高校党支部建设“两化一创”强基引领三年行动，优化高校基层党支部书记、院（系）党组织书记、学校党委书记三级述职评议机制。加强党建带动工会、共青团、妇联、少先队等群团组织和学生会组织、学生社团建设，做好在教师和学生中发展党员工作。</w:t>
      </w:r>
    </w:p>
    <w:p>
      <w:pPr>
        <w:keepNext w:val="0"/>
        <w:keepLines w:val="0"/>
        <w:pageBreakBefore w:val="0"/>
        <w:widowControl/>
        <w:kinsoku/>
        <w:wordWrap/>
        <w:overflowPunct/>
        <w:topLinePunct w:val="0"/>
        <w:autoSpaceDE/>
        <w:autoSpaceDN/>
        <w:bidi w:val="0"/>
        <w:adjustRightInd/>
        <w:snapToGrid/>
        <w:spacing w:line="540" w:lineRule="exact"/>
        <w:ind w:firstLine="600" w:firstLineChars="200"/>
        <w:jc w:val="left"/>
        <w:textAlignment w:val="auto"/>
        <w:outlineLvl w:val="1"/>
        <w:rPr>
          <w:rFonts w:ascii="楷体" w:hAnsi="楷体" w:eastAsia="楷体" w:cs="楷体"/>
          <w:snapToGrid w:val="0"/>
          <w:spacing w:val="0"/>
          <w:kern w:val="0"/>
          <w:sz w:val="30"/>
          <w:szCs w:val="30"/>
        </w:rPr>
      </w:pPr>
      <w:bookmarkStart w:id="173" w:name="_Toc21382"/>
      <w:bookmarkStart w:id="174" w:name="_Toc17342"/>
      <w:r>
        <w:rPr>
          <w:rFonts w:hint="eastAsia" w:ascii="楷体" w:hAnsi="楷体" w:eastAsia="楷体" w:cs="楷体"/>
          <w:snapToGrid w:val="0"/>
          <w:spacing w:val="0"/>
          <w:kern w:val="0"/>
          <w:sz w:val="30"/>
          <w:szCs w:val="30"/>
        </w:rPr>
        <w:t>（四）营造风清气正的良好政治生态</w:t>
      </w:r>
      <w:bookmarkEnd w:id="173"/>
      <w:bookmarkEnd w:id="174"/>
    </w:p>
    <w:p>
      <w:pPr>
        <w:pStyle w:val="7"/>
        <w:keepNext w:val="0"/>
        <w:keepLines w:val="0"/>
        <w:pageBreakBefore w:val="0"/>
        <w:kinsoku/>
        <w:wordWrap/>
        <w:overflowPunct/>
        <w:topLinePunct w:val="0"/>
        <w:autoSpaceDE/>
        <w:autoSpaceDN/>
        <w:bidi w:val="0"/>
        <w:adjustRightInd/>
        <w:snapToGrid/>
        <w:spacing w:after="0" w:line="540" w:lineRule="exact"/>
        <w:ind w:firstLine="560" w:firstLineChars="200"/>
        <w:textAlignment w:val="auto"/>
        <w:rPr>
          <w:rFonts w:hint="eastAsia" w:ascii="仿宋_GB2312" w:hAnsi="仿宋_GB2312" w:eastAsia="仿宋_GB2312" w:cs="仿宋_GB2312"/>
          <w:snapToGrid w:val="0"/>
          <w:spacing w:val="0"/>
          <w:sz w:val="28"/>
          <w:szCs w:val="28"/>
        </w:rPr>
      </w:pPr>
      <w:r>
        <w:rPr>
          <w:rFonts w:hint="eastAsia" w:ascii="仿宋_GB2312" w:hAnsi="仿宋_GB2312" w:eastAsia="仿宋_GB2312" w:cs="仿宋_GB2312"/>
          <w:snapToGrid w:val="0"/>
          <w:spacing w:val="0"/>
          <w:sz w:val="28"/>
          <w:szCs w:val="28"/>
        </w:rPr>
        <w:t>深入贯彻落实《党委（党组）落实全面从严治党主体责任规定》，主要负责同志负总责，班子成员落实“一岗双责”，压紧压实责任。持之以恒抓好党的作风建设，落实中央八项规定及其实施细则精神，紧盯薄弱环节，持续整治“四风”，聚焦形式主义突出问题，切实为基层减负增能。高度重视和大力支持纪检监察工作，旗帜鲜明地支持派驻纪检组依纪依法履行职责。加强对权力运行重点环节和关键岗位的监督，特别是干部任用、招生招教、职称评审、工程项目建设等重大廉政风险节点。严肃监督执纪问责，精准运用监督执纪“四种形态”，持续推进全市教育系统以案促改常态化制度化，一体推进不敢腐、不能腐、不想腐。突出政治监督，强化巡视成果运用，构建巡视巡察上下联动工作机制，一体推进发现问题和解决问题，推动巡察工作走深走实。配齐建强专兼职党务干部队伍，推动党务干部和行政业务干部之间双向交流。加强基层党组织和党员队伍建设，发挥党员先锋模范作用，激励党员干部担当尽责、干事创业。</w:t>
      </w:r>
    </w:p>
    <w:p>
      <w:pPr>
        <w:keepNext w:val="0"/>
        <w:keepLines w:val="0"/>
        <w:pageBreakBefore w:val="0"/>
        <w:kinsoku/>
        <w:wordWrap/>
        <w:overflowPunct/>
        <w:topLinePunct w:val="0"/>
        <w:autoSpaceDE/>
        <w:autoSpaceDN/>
        <w:bidi w:val="0"/>
        <w:adjustRightInd/>
        <w:snapToGrid/>
        <w:spacing w:line="540" w:lineRule="exact"/>
        <w:ind w:firstLine="642" w:firstLineChars="200"/>
        <w:textAlignment w:val="auto"/>
        <w:outlineLvl w:val="0"/>
        <w:rPr>
          <w:rFonts w:ascii="黑体" w:hAnsi="黑体" w:eastAsia="黑体" w:cs="黑体"/>
          <w:b/>
          <w:snapToGrid w:val="0"/>
          <w:color w:val="000000" w:themeColor="text1"/>
          <w:spacing w:val="0"/>
          <w:sz w:val="32"/>
          <w:szCs w:val="32"/>
          <w14:textFill>
            <w14:solidFill>
              <w14:schemeClr w14:val="tx1"/>
            </w14:solidFill>
          </w14:textFill>
        </w:rPr>
      </w:pPr>
      <w:r>
        <w:rPr>
          <w:rFonts w:hint="eastAsia" w:ascii="黑体" w:hAnsi="黑体" w:eastAsia="黑体" w:cs="黑体"/>
          <w:b/>
          <w:snapToGrid w:val="0"/>
          <w:color w:val="000000" w:themeColor="text1"/>
          <w:spacing w:val="0"/>
          <w:sz w:val="32"/>
          <w:szCs w:val="32"/>
          <w14:textFill>
            <w14:solidFill>
              <w14:schemeClr w14:val="tx1"/>
            </w14:solidFill>
          </w14:textFill>
        </w:rPr>
        <w:t>十</w:t>
      </w:r>
      <w:r>
        <w:rPr>
          <w:rFonts w:hint="eastAsia" w:ascii="黑体" w:hAnsi="黑体" w:eastAsia="黑体" w:cs="黑体"/>
          <w:b/>
          <w:snapToGrid w:val="0"/>
          <w:color w:val="000000" w:themeColor="text1"/>
          <w:spacing w:val="0"/>
          <w:sz w:val="32"/>
          <w:szCs w:val="32"/>
          <w:lang w:eastAsia="zh-CN"/>
          <w14:textFill>
            <w14:solidFill>
              <w14:schemeClr w14:val="tx1"/>
            </w14:solidFill>
          </w14:textFill>
        </w:rPr>
        <w:t>五</w:t>
      </w:r>
      <w:r>
        <w:rPr>
          <w:rFonts w:hint="eastAsia" w:ascii="黑体" w:hAnsi="黑体" w:eastAsia="黑体" w:cs="黑体"/>
          <w:b/>
          <w:snapToGrid w:val="0"/>
          <w:color w:val="000000" w:themeColor="text1"/>
          <w:spacing w:val="0"/>
          <w:sz w:val="32"/>
          <w:szCs w:val="32"/>
          <w14:textFill>
            <w14:solidFill>
              <w14:schemeClr w14:val="tx1"/>
            </w14:solidFill>
          </w14:textFill>
        </w:rPr>
        <w:t>、扩大教育对外开放与合作</w:t>
      </w:r>
      <w:bookmarkEnd w:id="161"/>
      <w:bookmarkEnd w:id="162"/>
    </w:p>
    <w:p>
      <w:pPr>
        <w:pStyle w:val="2"/>
        <w:keepNext w:val="0"/>
        <w:keepLines w:val="0"/>
        <w:pageBreakBefore w:val="0"/>
        <w:kinsoku/>
        <w:wordWrap/>
        <w:overflowPunct/>
        <w:topLinePunct w:val="0"/>
        <w:autoSpaceDE/>
        <w:autoSpaceDN/>
        <w:bidi w:val="0"/>
        <w:adjustRightInd/>
        <w:snapToGrid/>
        <w:spacing w:line="540" w:lineRule="exact"/>
        <w:textAlignment w:val="auto"/>
        <w:rPr>
          <w:rFonts w:ascii="仿宋_GB2312" w:hAnsi="仿宋_GB2312" w:eastAsia="仿宋_GB2312" w:cs="仿宋_GB2312"/>
          <w:snapToGrid w:val="0"/>
          <w:color w:val="auto"/>
          <w:spacing w:val="0"/>
          <w:sz w:val="28"/>
          <w:szCs w:val="28"/>
        </w:rPr>
      </w:pPr>
      <w:r>
        <w:rPr>
          <w:rFonts w:hint="eastAsia" w:ascii="仿宋_GB2312" w:hAnsi="仿宋_GB2312" w:eastAsia="仿宋_GB2312" w:cs="仿宋_GB2312"/>
          <w:snapToGrid w:val="0"/>
          <w:spacing w:val="0"/>
          <w:sz w:val="28"/>
          <w:szCs w:val="28"/>
        </w:rPr>
        <w:t>提升教育对外开放能力水平，努力实现高质量教育对外开放，服务我市对外开放全局。鼓励各级各类学校发挥自身特色和优势，开展形式多样的国内教育交流与合作，丰富内容，创新模式。按照“一事一议”原则支持引进国内外优质高等教育资源，开展合作办学。支持黄淮学院对外合作办学。</w:t>
      </w:r>
      <w:r>
        <w:rPr>
          <w:rFonts w:hint="eastAsia" w:ascii="仿宋_GB2312" w:hAnsi="仿宋_GB2312" w:eastAsia="仿宋_GB2312" w:cs="仿宋_GB2312"/>
          <w:snapToGrid w:val="0"/>
          <w:color w:val="auto"/>
          <w:spacing w:val="0"/>
          <w:sz w:val="28"/>
          <w:szCs w:val="28"/>
        </w:rPr>
        <w:t>积极融入我省沪豫教育合作机制，推动我市高职院校与</w:t>
      </w:r>
      <w:r>
        <w:rPr>
          <w:rFonts w:hint="eastAsia" w:ascii="仿宋_GB2312" w:hAnsi="仿宋_GB2312" w:eastAsia="仿宋_GB2312" w:cs="仿宋_GB2312"/>
          <w:snapToGrid w:val="0"/>
          <w:color w:val="auto"/>
          <w:spacing w:val="0"/>
          <w:sz w:val="28"/>
          <w:szCs w:val="28"/>
          <w:lang w:eastAsia="zh-CN"/>
        </w:rPr>
        <w:t>省内外高职院校开展</w:t>
      </w:r>
      <w:r>
        <w:rPr>
          <w:rFonts w:hint="eastAsia" w:ascii="仿宋_GB2312" w:hAnsi="仿宋_GB2312" w:eastAsia="仿宋_GB2312" w:cs="仿宋_GB2312"/>
          <w:snapToGrid w:val="0"/>
          <w:color w:val="auto"/>
          <w:spacing w:val="0"/>
          <w:sz w:val="28"/>
          <w:szCs w:val="28"/>
        </w:rPr>
        <w:t>交流合作，深化双方高校在学科专业建设、人才培养交流、挂职锻炼</w:t>
      </w:r>
      <w:r>
        <w:rPr>
          <w:rFonts w:hint="eastAsia" w:ascii="仿宋_GB2312" w:hAnsi="仿宋_GB2312" w:eastAsia="仿宋_GB2312" w:cs="仿宋_GB2312"/>
          <w:snapToGrid w:val="0"/>
          <w:color w:val="auto"/>
          <w:spacing w:val="0"/>
          <w:sz w:val="28"/>
          <w:szCs w:val="28"/>
          <w:lang w:eastAsia="zh-CN"/>
        </w:rPr>
        <w:t>、</w:t>
      </w:r>
      <w:r>
        <w:rPr>
          <w:rFonts w:hint="eastAsia" w:ascii="仿宋_GB2312" w:hAnsi="仿宋_GB2312" w:eastAsia="仿宋_GB2312" w:cs="仿宋_GB2312"/>
          <w:snapToGrid w:val="0"/>
          <w:color w:val="auto"/>
          <w:spacing w:val="0"/>
          <w:sz w:val="28"/>
          <w:szCs w:val="28"/>
        </w:rPr>
        <w:t>跟岗研修和实习实训基地建设等方面合作共建。支持我市中小学校与</w:t>
      </w:r>
      <w:r>
        <w:rPr>
          <w:rFonts w:hint="eastAsia" w:ascii="仿宋_GB2312" w:hAnsi="仿宋_GB2312" w:eastAsia="仿宋_GB2312" w:cs="仿宋_GB2312"/>
          <w:snapToGrid w:val="0"/>
          <w:color w:val="auto"/>
          <w:spacing w:val="0"/>
          <w:sz w:val="28"/>
          <w:szCs w:val="28"/>
          <w:lang w:eastAsia="zh-CN"/>
        </w:rPr>
        <w:t>上海基础教育学校结对合作</w:t>
      </w:r>
      <w:r>
        <w:rPr>
          <w:rFonts w:hint="eastAsia" w:ascii="仿宋_GB2312" w:hAnsi="仿宋_GB2312" w:eastAsia="仿宋_GB2312" w:cs="仿宋_GB2312"/>
          <w:snapToGrid w:val="0"/>
          <w:color w:val="auto"/>
          <w:spacing w:val="0"/>
          <w:sz w:val="28"/>
          <w:szCs w:val="28"/>
        </w:rPr>
        <w:t>。在有关高中共建优质生源基地，开展教职工互访交流，共同举办学生活动等。注重利用国外优质教育资源，提升教师素质，分批选派我市优秀教师赴海外研修。</w:t>
      </w:r>
    </w:p>
    <w:p>
      <w:pPr>
        <w:pStyle w:val="3"/>
        <w:pageBreakBefore w:val="0"/>
        <w:kinsoku/>
        <w:wordWrap/>
        <w:overflowPunct/>
        <w:topLinePunct w:val="0"/>
        <w:autoSpaceDE/>
        <w:autoSpaceDN/>
        <w:bidi w:val="0"/>
        <w:spacing w:line="540" w:lineRule="exact"/>
        <w:ind w:firstLine="642" w:firstLineChars="200"/>
        <w:textAlignment w:val="auto"/>
        <w:rPr>
          <w:rFonts w:ascii="黑体" w:hAnsi="黑体" w:eastAsia="黑体" w:cs="黑体"/>
          <w:bCs/>
          <w:snapToGrid w:val="0"/>
          <w:spacing w:val="0"/>
          <w:kern w:val="2"/>
          <w:sz w:val="32"/>
          <w:szCs w:val="32"/>
        </w:rPr>
      </w:pPr>
      <w:r>
        <w:rPr>
          <w:rFonts w:hint="eastAsia" w:ascii="黑体" w:hAnsi="黑体" w:eastAsia="黑体" w:cs="黑体"/>
          <w:bCs/>
          <w:snapToGrid w:val="0"/>
          <w:spacing w:val="0"/>
          <w:kern w:val="2"/>
          <w:sz w:val="32"/>
          <w:szCs w:val="32"/>
        </w:rPr>
        <w:t>十</w:t>
      </w:r>
      <w:bookmarkEnd w:id="163"/>
      <w:r>
        <w:rPr>
          <w:rFonts w:hint="eastAsia" w:ascii="黑体" w:hAnsi="黑体" w:eastAsia="黑体" w:cs="黑体"/>
          <w:bCs/>
          <w:snapToGrid w:val="0"/>
          <w:spacing w:val="0"/>
          <w:kern w:val="2"/>
          <w:sz w:val="32"/>
          <w:szCs w:val="32"/>
        </w:rPr>
        <w:t>六、完善规划落实机制</w:t>
      </w:r>
      <w:bookmarkEnd w:id="164"/>
      <w:bookmarkEnd w:id="165"/>
      <w:bookmarkEnd w:id="166"/>
    </w:p>
    <w:p>
      <w:pPr>
        <w:pageBreakBefore w:val="0"/>
        <w:widowControl/>
        <w:kinsoku/>
        <w:wordWrap/>
        <w:overflowPunct/>
        <w:topLinePunct w:val="0"/>
        <w:autoSpaceDE/>
        <w:autoSpaceDN/>
        <w:bidi w:val="0"/>
        <w:spacing w:line="540" w:lineRule="exact"/>
        <w:ind w:firstLine="560" w:firstLineChars="200"/>
        <w:jc w:val="both"/>
        <w:textAlignment w:val="auto"/>
        <w:rPr>
          <w:rFonts w:ascii="仿宋_GB2312" w:hAnsi="仿宋_GB2312" w:eastAsia="仿宋_GB2312" w:cs="仿宋_GB2312"/>
          <w:snapToGrid w:val="0"/>
          <w:spacing w:val="0"/>
          <w:sz w:val="28"/>
          <w:szCs w:val="28"/>
        </w:rPr>
      </w:pPr>
      <w:r>
        <w:rPr>
          <w:rFonts w:hint="eastAsia" w:ascii="仿宋_GB2312" w:hAnsi="仿宋_GB2312" w:eastAsia="仿宋_GB2312" w:cs="仿宋_GB2312"/>
          <w:snapToGrid w:val="0"/>
          <w:spacing w:val="0"/>
          <w:sz w:val="28"/>
          <w:szCs w:val="28"/>
        </w:rPr>
        <w:t>实现“十四五”教育发展目标需要真重视、真投入、真落实，各级政府要加强对规划实施的组织领导，制定切实可行的实施方案，明确工作分工，完善工作机制，确保各项目标任务如期完成。</w:t>
      </w:r>
    </w:p>
    <w:p>
      <w:pPr>
        <w:pageBreakBefore w:val="0"/>
        <w:widowControl/>
        <w:kinsoku/>
        <w:wordWrap/>
        <w:overflowPunct/>
        <w:topLinePunct w:val="0"/>
        <w:autoSpaceDE/>
        <w:autoSpaceDN/>
        <w:bidi w:val="0"/>
        <w:spacing w:line="540" w:lineRule="exact"/>
        <w:ind w:firstLine="600" w:firstLineChars="200"/>
        <w:jc w:val="left"/>
        <w:textAlignment w:val="auto"/>
        <w:outlineLvl w:val="1"/>
        <w:rPr>
          <w:rFonts w:ascii="楷体" w:hAnsi="楷体" w:eastAsia="楷体" w:cs="楷体"/>
          <w:snapToGrid w:val="0"/>
          <w:spacing w:val="0"/>
          <w:kern w:val="0"/>
          <w:sz w:val="30"/>
          <w:szCs w:val="30"/>
        </w:rPr>
      </w:pPr>
      <w:bookmarkStart w:id="175" w:name="_Toc7508"/>
      <w:bookmarkStart w:id="176" w:name="_Toc21490"/>
      <w:r>
        <w:rPr>
          <w:rFonts w:hint="eastAsia" w:ascii="楷体" w:hAnsi="楷体" w:eastAsia="楷体" w:cs="楷体"/>
          <w:snapToGrid w:val="0"/>
          <w:spacing w:val="0"/>
          <w:kern w:val="0"/>
          <w:sz w:val="30"/>
          <w:szCs w:val="30"/>
        </w:rPr>
        <w:t>（一）明确实施责任</w:t>
      </w:r>
      <w:bookmarkEnd w:id="175"/>
      <w:bookmarkEnd w:id="176"/>
    </w:p>
    <w:p>
      <w:pPr>
        <w:pageBreakBefore w:val="0"/>
        <w:widowControl/>
        <w:kinsoku/>
        <w:wordWrap/>
        <w:overflowPunct/>
        <w:topLinePunct w:val="0"/>
        <w:autoSpaceDE/>
        <w:autoSpaceDN/>
        <w:bidi w:val="0"/>
        <w:spacing w:line="540" w:lineRule="exact"/>
        <w:ind w:firstLine="560" w:firstLineChars="200"/>
        <w:jc w:val="left"/>
        <w:textAlignment w:val="auto"/>
        <w:rPr>
          <w:rFonts w:ascii="仿宋_GB2312" w:hAnsi="仿宋_GB2312" w:eastAsia="仿宋_GB2312" w:cs="仿宋_GB2312"/>
          <w:snapToGrid w:val="0"/>
          <w:spacing w:val="0"/>
          <w:sz w:val="28"/>
          <w:szCs w:val="28"/>
        </w:rPr>
      </w:pPr>
      <w:r>
        <w:rPr>
          <w:rFonts w:hint="eastAsia" w:ascii="仿宋_GB2312" w:hAnsi="仿宋_GB2312" w:eastAsia="仿宋_GB2312" w:cs="仿宋_GB2312"/>
          <w:snapToGrid w:val="0"/>
          <w:spacing w:val="0"/>
          <w:sz w:val="28"/>
          <w:szCs w:val="28"/>
        </w:rPr>
        <w:t>市、县</w:t>
      </w:r>
      <w:r>
        <w:rPr>
          <w:rFonts w:hint="eastAsia" w:ascii="仿宋_GB2312" w:hAnsi="仿宋_GB2312" w:eastAsia="仿宋_GB2312" w:cs="仿宋_GB2312"/>
          <w:snapToGrid w:val="0"/>
          <w:spacing w:val="0"/>
          <w:sz w:val="28"/>
          <w:szCs w:val="28"/>
          <w:lang w:eastAsia="zh-CN"/>
        </w:rPr>
        <w:t>区</w:t>
      </w:r>
      <w:r>
        <w:rPr>
          <w:rFonts w:hint="eastAsia" w:ascii="仿宋_GB2312" w:hAnsi="仿宋_GB2312" w:eastAsia="仿宋_GB2312" w:cs="仿宋_GB2312"/>
          <w:snapToGrid w:val="0"/>
          <w:spacing w:val="0"/>
          <w:sz w:val="28"/>
          <w:szCs w:val="28"/>
        </w:rPr>
        <w:t>政府和市直各部门要加强对规划实施的统筹领导，做好主要目标、重点任务、重大工程项目与规划的衔接，科学制定符合实际的发展目标和具体措施，对规划确定的教育改革发展的重点任务，根据职责分工，制定出时间表、路线图、任务书。规划确定的约束性指标、工程、计划等任务，各责任主体要根据进度要求如期完成，将主要指标分解纳入年度计划指标体系，做好年度间综合平衡，确定年度工作重点，推动各项目标、任务、政策、举措落到实处。建立健全跨部门协调联动机制，共同研究解决教育改革发展的重大问题，推动规划落实落地的工作机制。坚持项目跟着规划走、资金和要素跟着项目走，对专栏内工程项目简化审批核准程序，优先保障。</w:t>
      </w:r>
    </w:p>
    <w:p>
      <w:pPr>
        <w:pageBreakBefore w:val="0"/>
        <w:widowControl/>
        <w:kinsoku/>
        <w:wordWrap/>
        <w:overflowPunct/>
        <w:topLinePunct w:val="0"/>
        <w:autoSpaceDE/>
        <w:autoSpaceDN/>
        <w:bidi w:val="0"/>
        <w:spacing w:line="540" w:lineRule="exact"/>
        <w:ind w:firstLine="600" w:firstLineChars="200"/>
        <w:jc w:val="left"/>
        <w:textAlignment w:val="auto"/>
        <w:outlineLvl w:val="1"/>
        <w:rPr>
          <w:rFonts w:ascii="楷体" w:hAnsi="楷体" w:eastAsia="楷体" w:cs="楷体"/>
          <w:snapToGrid w:val="0"/>
          <w:spacing w:val="0"/>
          <w:kern w:val="0"/>
          <w:sz w:val="30"/>
          <w:szCs w:val="30"/>
        </w:rPr>
      </w:pPr>
      <w:bookmarkStart w:id="177" w:name="_Toc25587"/>
      <w:bookmarkStart w:id="178" w:name="_Toc381"/>
      <w:r>
        <w:rPr>
          <w:rFonts w:hint="eastAsia" w:ascii="楷体" w:hAnsi="楷体" w:eastAsia="楷体" w:cs="楷体"/>
          <w:snapToGrid w:val="0"/>
          <w:spacing w:val="0"/>
          <w:kern w:val="0"/>
          <w:sz w:val="30"/>
          <w:szCs w:val="30"/>
        </w:rPr>
        <w:t>（二）完善监测评估</w:t>
      </w:r>
      <w:bookmarkEnd w:id="177"/>
      <w:bookmarkEnd w:id="178"/>
    </w:p>
    <w:p>
      <w:pPr>
        <w:pageBreakBefore w:val="0"/>
        <w:kinsoku/>
        <w:wordWrap/>
        <w:overflowPunct/>
        <w:topLinePunct w:val="0"/>
        <w:autoSpaceDE/>
        <w:autoSpaceDN/>
        <w:bidi w:val="0"/>
        <w:spacing w:line="540" w:lineRule="exact"/>
        <w:ind w:firstLine="560" w:firstLineChars="200"/>
        <w:textAlignment w:val="auto"/>
        <w:rPr>
          <w:rFonts w:ascii="仿宋_GB2312" w:hAnsi="仿宋_GB2312" w:eastAsia="仿宋_GB2312" w:cs="仿宋_GB2312"/>
          <w:snapToGrid w:val="0"/>
          <w:spacing w:val="0"/>
          <w:sz w:val="28"/>
          <w:szCs w:val="28"/>
        </w:rPr>
      </w:pPr>
      <w:r>
        <w:rPr>
          <w:rFonts w:hint="eastAsia" w:ascii="仿宋_GB2312" w:hAnsi="仿宋_GB2312" w:eastAsia="仿宋_GB2312" w:cs="仿宋_GB2312"/>
          <w:snapToGrid w:val="0"/>
          <w:spacing w:val="0"/>
          <w:sz w:val="28"/>
          <w:szCs w:val="28"/>
        </w:rPr>
        <w:t>开展规划实施情况全程监测与评估，发挥监察机关和审计机关对推进规划实施的监督作用，充分利用大数据等现代信息技术对规划实施情况开展跟踪监测，通过第三方评估等多种形式，分任务、分阶段开展规划实施评估。加强分类指导，鼓励各</w:t>
      </w:r>
      <w:r>
        <w:rPr>
          <w:rFonts w:hint="eastAsia" w:ascii="仿宋_GB2312" w:hAnsi="仿宋_GB2312" w:eastAsia="仿宋_GB2312" w:cs="仿宋_GB2312"/>
          <w:snapToGrid w:val="0"/>
          <w:spacing w:val="0"/>
          <w:sz w:val="28"/>
          <w:szCs w:val="28"/>
          <w:lang w:eastAsia="zh-CN"/>
        </w:rPr>
        <w:t>级</w:t>
      </w:r>
      <w:r>
        <w:rPr>
          <w:rFonts w:hint="eastAsia" w:ascii="仿宋_GB2312" w:hAnsi="仿宋_GB2312" w:eastAsia="仿宋_GB2312" w:cs="仿宋_GB2312"/>
          <w:snapToGrid w:val="0"/>
          <w:spacing w:val="0"/>
          <w:sz w:val="28"/>
          <w:szCs w:val="28"/>
        </w:rPr>
        <w:t>各校大胆实践、积极探索、创造经验，探索实施规划的有效机制。完善规划实施监测评估机制，将规划实施情况纳入各有关部门、地方领导班子和干部评价体系，作为考核各级政府和干部工作实绩的重要依据，将规划实施情况作为督促检查各级教育行政部门和学校工作的重要内容，并将社会各界对规划的意见和建议作为规划调整的重要依据。加大考评奖惩力度，对落实情况较好的县区和部门表彰奖励，对落实不力、排名靠后的严肃问责。</w:t>
      </w:r>
    </w:p>
    <w:p>
      <w:pPr>
        <w:pageBreakBefore w:val="0"/>
        <w:widowControl/>
        <w:kinsoku/>
        <w:wordWrap/>
        <w:overflowPunct/>
        <w:topLinePunct w:val="0"/>
        <w:autoSpaceDE/>
        <w:autoSpaceDN/>
        <w:bidi w:val="0"/>
        <w:spacing w:line="540" w:lineRule="exact"/>
        <w:ind w:firstLine="600" w:firstLineChars="200"/>
        <w:jc w:val="left"/>
        <w:textAlignment w:val="auto"/>
        <w:outlineLvl w:val="1"/>
        <w:rPr>
          <w:rFonts w:ascii="楷体" w:hAnsi="楷体" w:eastAsia="楷体" w:cs="楷体"/>
          <w:snapToGrid w:val="0"/>
          <w:spacing w:val="0"/>
          <w:kern w:val="0"/>
          <w:sz w:val="30"/>
          <w:szCs w:val="30"/>
        </w:rPr>
      </w:pPr>
      <w:bookmarkStart w:id="179" w:name="_Toc18758"/>
      <w:bookmarkStart w:id="180" w:name="_Toc2177"/>
      <w:r>
        <w:rPr>
          <w:rFonts w:hint="eastAsia" w:ascii="楷体" w:hAnsi="楷体" w:eastAsia="楷体" w:cs="楷体"/>
          <w:snapToGrid w:val="0"/>
          <w:spacing w:val="0"/>
          <w:kern w:val="0"/>
          <w:sz w:val="30"/>
          <w:szCs w:val="30"/>
        </w:rPr>
        <w:t>（三）营造良好氛围</w:t>
      </w:r>
      <w:bookmarkEnd w:id="179"/>
      <w:bookmarkEnd w:id="180"/>
    </w:p>
    <w:p>
      <w:pPr>
        <w:pageBreakBefore w:val="0"/>
        <w:widowControl/>
        <w:kinsoku/>
        <w:wordWrap/>
        <w:overflowPunct/>
        <w:topLinePunct w:val="0"/>
        <w:autoSpaceDE/>
        <w:autoSpaceDN/>
        <w:bidi w:val="0"/>
        <w:spacing w:line="540" w:lineRule="exact"/>
        <w:ind w:firstLine="560" w:firstLineChars="200"/>
        <w:jc w:val="left"/>
        <w:textAlignment w:val="auto"/>
        <w:rPr>
          <w:rFonts w:hint="eastAsia" w:ascii="仿宋_GB2312" w:hAnsi="仿宋_GB2312" w:eastAsia="仿宋_GB2312" w:cs="仿宋_GB2312"/>
          <w:snapToGrid w:val="0"/>
          <w:spacing w:val="0"/>
          <w:sz w:val="28"/>
          <w:szCs w:val="28"/>
        </w:rPr>
      </w:pPr>
      <w:r>
        <w:rPr>
          <w:rFonts w:hint="eastAsia" w:ascii="仿宋_GB2312" w:hAnsi="仿宋_GB2312" w:eastAsia="仿宋_GB2312" w:cs="仿宋_GB2312"/>
          <w:snapToGrid w:val="0"/>
          <w:spacing w:val="0"/>
          <w:sz w:val="28"/>
          <w:szCs w:val="28"/>
        </w:rPr>
        <w:t>加强相关政策措施宣传解读，广泛凝聚改革共识，为改革营造良好氛围。探索建立有关智库参与教育改革发展政策制定的机制，完善新媒体等社会反馈和监督机制，提高政策实施与人民教育需求的契合度。推动各级教育行政部门定期发布教育改革发展动态和规划实施情况，鼓励并引导社会各界广泛参与规划的实施。发挥新闻媒体的作用，宣传</w:t>
      </w:r>
      <w:r>
        <w:rPr>
          <w:rFonts w:hint="eastAsia" w:ascii="仿宋_GB2312" w:hAnsi="仿宋_GB2312" w:eastAsia="仿宋_GB2312" w:cs="仿宋_GB2312"/>
          <w:snapToGrid w:val="0"/>
          <w:spacing w:val="0"/>
          <w:sz w:val="28"/>
          <w:szCs w:val="28"/>
          <w:lang w:eastAsia="zh-CN"/>
        </w:rPr>
        <w:t>驻马店市</w:t>
      </w:r>
      <w:r>
        <w:rPr>
          <w:rFonts w:hint="eastAsia" w:ascii="仿宋_GB2312" w:hAnsi="仿宋_GB2312" w:eastAsia="仿宋_GB2312" w:cs="仿宋_GB2312"/>
          <w:snapToGrid w:val="0"/>
          <w:spacing w:val="0"/>
          <w:sz w:val="28"/>
          <w:szCs w:val="28"/>
        </w:rPr>
        <w:t>“十四五”</w:t>
      </w:r>
      <w:r>
        <w:rPr>
          <w:rFonts w:hint="eastAsia" w:ascii="仿宋_GB2312" w:hAnsi="仿宋_GB2312" w:eastAsia="仿宋_GB2312" w:cs="仿宋_GB2312"/>
          <w:snapToGrid w:val="0"/>
          <w:spacing w:val="0"/>
          <w:sz w:val="28"/>
          <w:szCs w:val="28"/>
          <w:lang w:eastAsia="zh-CN"/>
        </w:rPr>
        <w:t>教育事业发展</w:t>
      </w:r>
      <w:r>
        <w:rPr>
          <w:rFonts w:hint="eastAsia" w:ascii="仿宋_GB2312" w:hAnsi="仿宋_GB2312" w:eastAsia="仿宋_GB2312" w:cs="仿宋_GB2312"/>
          <w:snapToGrid w:val="0"/>
          <w:spacing w:val="0"/>
          <w:sz w:val="28"/>
          <w:szCs w:val="28"/>
        </w:rPr>
        <w:t>规划的主要内容和重要意义，搭建社会各界关心教育、建言教育、支持教育的公众参与机制，凝聚社会合力推进</w:t>
      </w:r>
      <w:r>
        <w:rPr>
          <w:rFonts w:hint="eastAsia" w:ascii="仿宋_GB2312" w:hAnsi="仿宋_GB2312" w:eastAsia="仿宋_GB2312" w:cs="仿宋_GB2312"/>
          <w:snapToGrid w:val="0"/>
          <w:spacing w:val="0"/>
          <w:sz w:val="28"/>
          <w:szCs w:val="28"/>
          <w:lang w:eastAsia="zh-CN"/>
        </w:rPr>
        <w:t>驻马店市</w:t>
      </w:r>
      <w:r>
        <w:rPr>
          <w:rFonts w:hint="eastAsia" w:ascii="仿宋_GB2312" w:hAnsi="仿宋_GB2312" w:eastAsia="仿宋_GB2312" w:cs="仿宋_GB2312"/>
          <w:snapToGrid w:val="0"/>
          <w:spacing w:val="0"/>
          <w:sz w:val="28"/>
          <w:szCs w:val="28"/>
        </w:rPr>
        <w:t>“十四五”</w:t>
      </w:r>
      <w:r>
        <w:rPr>
          <w:rFonts w:hint="eastAsia" w:ascii="仿宋_GB2312" w:hAnsi="仿宋_GB2312" w:eastAsia="仿宋_GB2312" w:cs="仿宋_GB2312"/>
          <w:snapToGrid w:val="0"/>
          <w:spacing w:val="0"/>
          <w:sz w:val="28"/>
          <w:szCs w:val="28"/>
          <w:lang w:eastAsia="zh-CN"/>
        </w:rPr>
        <w:t>教育事业发展</w:t>
      </w:r>
      <w:r>
        <w:rPr>
          <w:rFonts w:hint="eastAsia" w:ascii="仿宋_GB2312" w:hAnsi="仿宋_GB2312" w:eastAsia="仿宋_GB2312" w:cs="仿宋_GB2312"/>
          <w:snapToGrid w:val="0"/>
          <w:spacing w:val="0"/>
          <w:sz w:val="28"/>
          <w:szCs w:val="28"/>
        </w:rPr>
        <w:t>规划</w:t>
      </w:r>
      <w:r>
        <w:rPr>
          <w:rFonts w:hint="eastAsia" w:ascii="仿宋_GB2312" w:hAnsi="仿宋_GB2312" w:eastAsia="仿宋_GB2312" w:cs="仿宋_GB2312"/>
          <w:snapToGrid w:val="0"/>
          <w:spacing w:val="0"/>
          <w:sz w:val="28"/>
          <w:szCs w:val="28"/>
          <w:lang w:eastAsia="zh-CN"/>
        </w:rPr>
        <w:t>的</w:t>
      </w:r>
      <w:r>
        <w:rPr>
          <w:rFonts w:hint="eastAsia" w:ascii="仿宋_GB2312" w:hAnsi="仿宋_GB2312" w:eastAsia="仿宋_GB2312" w:cs="仿宋_GB2312"/>
          <w:snapToGrid w:val="0"/>
          <w:spacing w:val="0"/>
          <w:sz w:val="28"/>
          <w:szCs w:val="28"/>
        </w:rPr>
        <w:t>实施。</w:t>
      </w:r>
      <w:bookmarkEnd w:id="63"/>
    </w:p>
    <w:p>
      <w:pPr>
        <w:pStyle w:val="2"/>
        <w:pageBreakBefore w:val="0"/>
        <w:kinsoku/>
        <w:wordWrap/>
        <w:overflowPunct/>
        <w:topLinePunct w:val="0"/>
        <w:autoSpaceDE/>
        <w:autoSpaceDN/>
        <w:bidi w:val="0"/>
        <w:spacing w:line="540" w:lineRule="exact"/>
        <w:rPr>
          <w:rFonts w:hint="eastAsia" w:ascii="仿宋_GB2312" w:hAnsi="仿宋_GB2312" w:eastAsia="仿宋_GB2312" w:cs="仿宋_GB2312"/>
          <w:snapToGrid w:val="0"/>
          <w:spacing w:val="0"/>
          <w:sz w:val="28"/>
          <w:szCs w:val="28"/>
        </w:rPr>
      </w:pPr>
    </w:p>
    <w:p>
      <w:pPr>
        <w:pStyle w:val="14"/>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20" w:lineRule="exact"/>
        <w:ind w:left="1685" w:leftChars="267" w:right="0" w:rightChars="0" w:hanging="1124" w:hangingChars="400"/>
        <w:jc w:val="left"/>
        <w:textAlignment w:val="auto"/>
        <w:rPr>
          <w:rFonts w:hint="eastAsia" w:asciiTheme="minorEastAsia" w:hAnsiTheme="minorEastAsia" w:eastAsiaTheme="minorEastAsia" w:cstheme="minorEastAsia"/>
          <w:b w:val="0"/>
          <w:bCs w:val="0"/>
          <w:i w:val="0"/>
          <w:iCs w:val="0"/>
          <w:caps w:val="0"/>
          <w:color w:val="000000"/>
          <w:spacing w:val="0"/>
          <w:sz w:val="24"/>
          <w:szCs w:val="24"/>
          <w:shd w:val="clear" w:fill="FFFFFF"/>
          <w:lang w:eastAsia="zh-CN"/>
        </w:rPr>
      </w:pPr>
      <w:r>
        <w:rPr>
          <w:rFonts w:hint="eastAsia" w:ascii="仿宋_GB2312" w:hAnsi="仿宋_GB2312" w:eastAsia="仿宋_GB2312" w:cs="仿宋_GB2312"/>
          <w:b/>
          <w:bCs/>
          <w:snapToGrid w:val="0"/>
          <w:spacing w:val="0"/>
          <w:sz w:val="28"/>
          <w:szCs w:val="28"/>
          <w:lang w:eastAsia="zh-CN"/>
        </w:rPr>
        <w:t>说明：</w:t>
      </w:r>
      <w:r>
        <w:rPr>
          <w:rFonts w:hint="eastAsia" w:asciiTheme="minorEastAsia" w:hAnsiTheme="minorEastAsia" w:eastAsiaTheme="minorEastAsia" w:cstheme="minorEastAsia"/>
          <w:snapToGrid w:val="0"/>
          <w:spacing w:val="0"/>
          <w:sz w:val="24"/>
          <w:szCs w:val="24"/>
          <w:lang w:val="en-US" w:eastAsia="zh-CN"/>
        </w:rPr>
        <w:t>1.</w:t>
      </w:r>
      <w:r>
        <w:rPr>
          <w:rFonts w:hint="eastAsia" w:asciiTheme="minorEastAsia" w:hAnsiTheme="minorEastAsia" w:eastAsiaTheme="minorEastAsia" w:cstheme="minorEastAsia"/>
          <w:b w:val="0"/>
          <w:bCs w:val="0"/>
          <w:i w:val="0"/>
          <w:iCs w:val="0"/>
          <w:caps w:val="0"/>
          <w:color w:val="000000"/>
          <w:spacing w:val="0"/>
          <w:sz w:val="24"/>
          <w:szCs w:val="24"/>
          <w:shd w:val="clear" w:fill="FFFFFF"/>
        </w:rPr>
        <w:t>普惠性幼儿园覆盖率=公办园和普惠性民办园在园（班）幼儿数/学前教育在园（班）幼儿总数*100%</w:t>
      </w:r>
      <w:r>
        <w:rPr>
          <w:rFonts w:hint="eastAsia" w:asciiTheme="minorEastAsia" w:hAnsiTheme="minorEastAsia" w:eastAsiaTheme="minorEastAsia" w:cstheme="minorEastAsia"/>
          <w:b w:val="0"/>
          <w:bCs w:val="0"/>
          <w:i w:val="0"/>
          <w:iCs w:val="0"/>
          <w:caps w:val="0"/>
          <w:color w:val="000000"/>
          <w:spacing w:val="0"/>
          <w:sz w:val="24"/>
          <w:szCs w:val="24"/>
          <w:shd w:val="clear" w:fill="FFFFFF"/>
          <w:lang w:eastAsia="zh-CN"/>
        </w:rPr>
        <w:t>。</w:t>
      </w:r>
    </w:p>
    <w:p>
      <w:pPr>
        <w:pStyle w:val="1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1676" w:leftChars="684" w:right="0" w:hanging="240" w:hangingChars="100"/>
        <w:jc w:val="left"/>
        <w:textAlignment w:val="auto"/>
        <w:rPr>
          <w:rFonts w:hint="eastAsia" w:asciiTheme="minorEastAsia" w:hAnsiTheme="minorEastAsia" w:eastAsiaTheme="minorEastAsia" w:cstheme="minorEastAsia"/>
          <w:b w:val="0"/>
          <w:bCs w:val="0"/>
          <w:i w:val="0"/>
          <w:iCs w:val="0"/>
          <w:caps w:val="0"/>
          <w:color w:val="000000"/>
          <w:spacing w:val="0"/>
          <w:sz w:val="24"/>
          <w:szCs w:val="24"/>
          <w:lang w:eastAsia="zh-CN"/>
        </w:rPr>
      </w:pPr>
      <w:r>
        <w:rPr>
          <w:rFonts w:hint="eastAsia" w:asciiTheme="minorEastAsia" w:hAnsiTheme="minorEastAsia" w:eastAsiaTheme="minorEastAsia" w:cstheme="minorEastAsia"/>
          <w:b w:val="0"/>
          <w:bCs w:val="0"/>
          <w:i w:val="0"/>
          <w:iCs w:val="0"/>
          <w:caps w:val="0"/>
          <w:color w:val="000000"/>
          <w:spacing w:val="0"/>
          <w:sz w:val="24"/>
          <w:szCs w:val="24"/>
          <w:shd w:val="clear" w:fill="FFFFFF"/>
          <w:lang w:val="en-US" w:eastAsia="zh-CN"/>
        </w:rPr>
        <w:t>2.</w:t>
      </w:r>
      <w:r>
        <w:rPr>
          <w:rFonts w:hint="eastAsia" w:asciiTheme="minorEastAsia" w:hAnsiTheme="minorEastAsia" w:eastAsiaTheme="minorEastAsia" w:cstheme="minorEastAsia"/>
          <w:b w:val="0"/>
          <w:bCs w:val="0"/>
          <w:i w:val="0"/>
          <w:iCs w:val="0"/>
          <w:caps w:val="0"/>
          <w:color w:val="000000"/>
          <w:spacing w:val="0"/>
          <w:sz w:val="24"/>
          <w:szCs w:val="24"/>
          <w:shd w:val="clear" w:fill="FFFFFF"/>
        </w:rPr>
        <w:t>中等职业学校“双师型”教师比例（%）=中等职业学校“双师型”专任教师数/中等职业学校专任教师总数*100%</w:t>
      </w:r>
      <w:r>
        <w:rPr>
          <w:rFonts w:hint="eastAsia" w:asciiTheme="minorEastAsia" w:hAnsiTheme="minorEastAsia" w:eastAsiaTheme="minorEastAsia" w:cstheme="minorEastAsia"/>
          <w:b w:val="0"/>
          <w:bCs w:val="0"/>
          <w:i w:val="0"/>
          <w:iCs w:val="0"/>
          <w:caps w:val="0"/>
          <w:color w:val="000000"/>
          <w:spacing w:val="0"/>
          <w:sz w:val="24"/>
          <w:szCs w:val="24"/>
          <w:shd w:val="clear" w:fill="FFFFFF"/>
          <w:lang w:eastAsia="zh-CN"/>
        </w:rPr>
        <w:t>。</w:t>
      </w:r>
    </w:p>
    <w:p>
      <w:pPr>
        <w:pStyle w:val="1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1676" w:leftChars="684" w:right="0" w:hanging="240" w:hangingChars="100"/>
        <w:jc w:val="left"/>
        <w:textAlignment w:val="auto"/>
        <w:rPr>
          <w:rFonts w:hint="eastAsia" w:asciiTheme="minorEastAsia" w:hAnsiTheme="minorEastAsia" w:eastAsiaTheme="minorEastAsia" w:cstheme="minorEastAsia"/>
          <w:b w:val="0"/>
          <w:bCs w:val="0"/>
          <w:i w:val="0"/>
          <w:iCs w:val="0"/>
          <w:caps w:val="0"/>
          <w:color w:val="000000"/>
          <w:spacing w:val="0"/>
          <w:sz w:val="24"/>
          <w:szCs w:val="24"/>
          <w:lang w:eastAsia="zh-CN"/>
        </w:rPr>
      </w:pPr>
      <w:r>
        <w:rPr>
          <w:rFonts w:hint="eastAsia" w:asciiTheme="minorEastAsia" w:hAnsiTheme="minorEastAsia" w:eastAsiaTheme="minorEastAsia" w:cstheme="minorEastAsia"/>
          <w:b w:val="0"/>
          <w:bCs w:val="0"/>
          <w:i w:val="0"/>
          <w:iCs w:val="0"/>
          <w:caps w:val="0"/>
          <w:color w:val="000000"/>
          <w:spacing w:val="0"/>
          <w:sz w:val="24"/>
          <w:szCs w:val="24"/>
          <w:shd w:val="clear" w:fill="FFFFFF"/>
          <w:lang w:val="en-US" w:eastAsia="zh-CN"/>
        </w:rPr>
        <w:t>3.</w:t>
      </w:r>
      <w:r>
        <w:rPr>
          <w:rFonts w:hint="eastAsia" w:asciiTheme="minorEastAsia" w:hAnsiTheme="minorEastAsia" w:eastAsiaTheme="minorEastAsia" w:cstheme="minorEastAsia"/>
          <w:b w:val="0"/>
          <w:bCs w:val="0"/>
          <w:i w:val="0"/>
          <w:iCs w:val="0"/>
          <w:caps w:val="0"/>
          <w:color w:val="000000"/>
          <w:spacing w:val="0"/>
          <w:sz w:val="24"/>
          <w:szCs w:val="24"/>
          <w:shd w:val="clear" w:fill="FFFFFF"/>
        </w:rPr>
        <w:t>高职（专科）院校“双师型”教师比例（%）=高职（专科）院校“双师型”专任教师数/高职（专科）院校专任教师总数*100%</w:t>
      </w:r>
      <w:r>
        <w:rPr>
          <w:rFonts w:hint="eastAsia" w:asciiTheme="minorEastAsia" w:hAnsiTheme="minorEastAsia" w:eastAsiaTheme="minorEastAsia" w:cstheme="minorEastAsia"/>
          <w:b w:val="0"/>
          <w:bCs w:val="0"/>
          <w:i w:val="0"/>
          <w:iCs w:val="0"/>
          <w:caps w:val="0"/>
          <w:color w:val="000000"/>
          <w:spacing w:val="0"/>
          <w:sz w:val="24"/>
          <w:szCs w:val="24"/>
          <w:shd w:val="clear" w:fill="FFFFFF"/>
          <w:lang w:eastAsia="zh-CN"/>
        </w:rPr>
        <w:t>。</w:t>
      </w:r>
    </w:p>
    <w:p>
      <w:pPr>
        <w:pStyle w:val="1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1676" w:leftChars="684" w:right="0" w:hanging="240" w:hangingChars="100"/>
        <w:jc w:val="left"/>
        <w:textAlignment w:val="auto"/>
        <w:rPr>
          <w:rFonts w:hint="eastAsia" w:asciiTheme="minorEastAsia" w:hAnsiTheme="minorEastAsia" w:eastAsiaTheme="minorEastAsia" w:cstheme="minorEastAsia"/>
          <w:b w:val="0"/>
          <w:bCs w:val="0"/>
          <w:i w:val="0"/>
          <w:iCs w:val="0"/>
          <w:caps w:val="0"/>
          <w:color w:val="000000"/>
          <w:spacing w:val="0"/>
          <w:sz w:val="24"/>
          <w:szCs w:val="24"/>
          <w:lang w:eastAsia="zh-CN"/>
        </w:rPr>
      </w:pPr>
      <w:r>
        <w:rPr>
          <w:rFonts w:hint="eastAsia" w:asciiTheme="minorEastAsia" w:hAnsiTheme="minorEastAsia" w:eastAsiaTheme="minorEastAsia" w:cstheme="minorEastAsia"/>
          <w:b w:val="0"/>
          <w:bCs w:val="0"/>
          <w:i w:val="0"/>
          <w:iCs w:val="0"/>
          <w:caps w:val="0"/>
          <w:color w:val="000000"/>
          <w:spacing w:val="0"/>
          <w:sz w:val="24"/>
          <w:szCs w:val="24"/>
          <w:shd w:val="clear" w:fill="FFFFFF"/>
          <w:lang w:val="en-US" w:eastAsia="zh-CN"/>
        </w:rPr>
        <w:t>4.</w:t>
      </w:r>
      <w:r>
        <w:rPr>
          <w:rFonts w:hint="eastAsia" w:asciiTheme="minorEastAsia" w:hAnsiTheme="minorEastAsia" w:eastAsiaTheme="minorEastAsia" w:cstheme="minorEastAsia"/>
          <w:b w:val="0"/>
          <w:bCs w:val="0"/>
          <w:i w:val="0"/>
          <w:iCs w:val="0"/>
          <w:caps w:val="0"/>
          <w:color w:val="000000"/>
          <w:spacing w:val="0"/>
          <w:sz w:val="24"/>
          <w:szCs w:val="24"/>
          <w:shd w:val="clear" w:fill="FFFFFF"/>
        </w:rPr>
        <w:t>每十万人口高等教育平均在校生数（人）=高等教育在校生总数/人口总数*100000</w:t>
      </w:r>
      <w:r>
        <w:rPr>
          <w:rFonts w:hint="eastAsia" w:asciiTheme="minorEastAsia" w:hAnsiTheme="minorEastAsia" w:eastAsiaTheme="minorEastAsia" w:cstheme="minorEastAsia"/>
          <w:b w:val="0"/>
          <w:bCs w:val="0"/>
          <w:i w:val="0"/>
          <w:iCs w:val="0"/>
          <w:caps w:val="0"/>
          <w:color w:val="000000"/>
          <w:spacing w:val="0"/>
          <w:sz w:val="24"/>
          <w:szCs w:val="24"/>
          <w:shd w:val="clear" w:fill="FFFFFF"/>
          <w:lang w:eastAsia="zh-CN"/>
        </w:rPr>
        <w:t>。</w:t>
      </w:r>
      <w:r>
        <w:rPr>
          <w:rFonts w:hint="eastAsia" w:asciiTheme="minorEastAsia" w:hAnsiTheme="minorEastAsia" w:eastAsiaTheme="minorEastAsia" w:cstheme="minorEastAsia"/>
          <w:b w:val="0"/>
          <w:bCs w:val="0"/>
          <w:i w:val="0"/>
          <w:iCs w:val="0"/>
          <w:caps w:val="0"/>
          <w:color w:val="000000"/>
          <w:spacing w:val="0"/>
          <w:sz w:val="24"/>
          <w:szCs w:val="24"/>
          <w:shd w:val="clear" w:fill="FFFFFF"/>
        </w:rPr>
        <w:t>注：本指标中高等教育在校生总数统计为研究生、普通本专科和成人本专科学生的合计数</w:t>
      </w:r>
      <w:r>
        <w:rPr>
          <w:rFonts w:hint="eastAsia" w:asciiTheme="minorEastAsia" w:hAnsiTheme="minorEastAsia" w:eastAsiaTheme="minorEastAsia" w:cstheme="minorEastAsia"/>
          <w:b w:val="0"/>
          <w:bCs w:val="0"/>
          <w:i w:val="0"/>
          <w:iCs w:val="0"/>
          <w:caps w:val="0"/>
          <w:color w:val="000000"/>
          <w:spacing w:val="0"/>
          <w:sz w:val="24"/>
          <w:szCs w:val="24"/>
          <w:shd w:val="clear" w:fill="FFFFFF"/>
          <w:lang w:eastAsia="zh-CN"/>
        </w:rPr>
        <w:t>。</w:t>
      </w:r>
    </w:p>
    <w:p>
      <w:pPr>
        <w:pStyle w:val="1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1676" w:leftChars="684" w:right="0" w:hanging="240" w:hangingChars="100"/>
        <w:jc w:val="left"/>
        <w:textAlignment w:val="auto"/>
        <w:rPr>
          <w:rFonts w:hint="eastAsia" w:asciiTheme="minorEastAsia" w:hAnsiTheme="minorEastAsia" w:eastAsiaTheme="minorEastAsia" w:cstheme="minorEastAsia"/>
          <w:b w:val="0"/>
          <w:bCs w:val="0"/>
          <w:i w:val="0"/>
          <w:iCs w:val="0"/>
          <w:caps w:val="0"/>
          <w:color w:val="000000"/>
          <w:spacing w:val="0"/>
          <w:sz w:val="24"/>
          <w:szCs w:val="24"/>
          <w:shd w:val="clear" w:fill="FFFFFF"/>
          <w:lang w:eastAsia="zh-CN"/>
        </w:rPr>
      </w:pPr>
      <w:r>
        <w:rPr>
          <w:rFonts w:hint="eastAsia" w:asciiTheme="minorEastAsia" w:hAnsiTheme="minorEastAsia" w:eastAsiaTheme="minorEastAsia" w:cstheme="minorEastAsia"/>
          <w:b w:val="0"/>
          <w:bCs w:val="0"/>
          <w:i w:val="0"/>
          <w:iCs w:val="0"/>
          <w:caps w:val="0"/>
          <w:color w:val="000000"/>
          <w:spacing w:val="0"/>
          <w:sz w:val="24"/>
          <w:szCs w:val="24"/>
          <w:shd w:val="clear" w:fill="FFFFFF"/>
          <w:lang w:val="en-US" w:eastAsia="zh-CN"/>
        </w:rPr>
        <w:t>5.</w:t>
      </w:r>
      <w:r>
        <w:rPr>
          <w:rFonts w:hint="eastAsia" w:asciiTheme="minorEastAsia" w:hAnsiTheme="minorEastAsia" w:eastAsiaTheme="minorEastAsia" w:cstheme="minorEastAsia"/>
          <w:b w:val="0"/>
          <w:bCs w:val="0"/>
          <w:i w:val="0"/>
          <w:iCs w:val="0"/>
          <w:caps w:val="0"/>
          <w:color w:val="000000"/>
          <w:spacing w:val="0"/>
          <w:sz w:val="24"/>
          <w:szCs w:val="24"/>
          <w:shd w:val="clear" w:fill="FFFFFF"/>
        </w:rPr>
        <w:t>劳动年龄人口平均受教育年限（年）=16～59岁人口每个人接受学历教育年限之和/16～59岁人口总数</w:t>
      </w:r>
      <w:r>
        <w:rPr>
          <w:rFonts w:hint="eastAsia" w:asciiTheme="minorEastAsia" w:hAnsiTheme="minorEastAsia" w:eastAsiaTheme="minorEastAsia" w:cstheme="minorEastAsia"/>
          <w:b w:val="0"/>
          <w:bCs w:val="0"/>
          <w:i w:val="0"/>
          <w:iCs w:val="0"/>
          <w:caps w:val="0"/>
          <w:color w:val="000000"/>
          <w:spacing w:val="0"/>
          <w:sz w:val="24"/>
          <w:szCs w:val="24"/>
          <w:shd w:val="clear" w:fill="FFFFFF"/>
          <w:lang w:eastAsia="zh-CN"/>
        </w:rPr>
        <w:t>。</w:t>
      </w:r>
      <w:r>
        <w:rPr>
          <w:rFonts w:hint="eastAsia" w:asciiTheme="minorEastAsia" w:hAnsiTheme="minorEastAsia" w:eastAsiaTheme="minorEastAsia" w:cstheme="minorEastAsia"/>
          <w:b w:val="0"/>
          <w:bCs w:val="0"/>
          <w:i w:val="0"/>
          <w:iCs w:val="0"/>
          <w:caps w:val="0"/>
          <w:color w:val="000000"/>
          <w:spacing w:val="0"/>
          <w:sz w:val="24"/>
          <w:szCs w:val="24"/>
          <w:shd w:val="clear" w:fill="FFFFFF"/>
        </w:rPr>
        <w:t>注：劳动年龄人口通常指社会总人口中处于劳动年龄范围内的人口，劳动年龄范围会因地理自然条件和社会经济条件的不同而有所差别。当前我国通常将16～59岁人口作为劳动年龄人口</w:t>
      </w:r>
      <w:r>
        <w:rPr>
          <w:rFonts w:hint="eastAsia" w:asciiTheme="minorEastAsia" w:hAnsiTheme="minorEastAsia" w:eastAsiaTheme="minorEastAsia" w:cstheme="minorEastAsia"/>
          <w:b w:val="0"/>
          <w:bCs w:val="0"/>
          <w:i w:val="0"/>
          <w:iCs w:val="0"/>
          <w:caps w:val="0"/>
          <w:color w:val="000000"/>
          <w:spacing w:val="0"/>
          <w:sz w:val="24"/>
          <w:szCs w:val="24"/>
          <w:shd w:val="clear" w:fill="FFFFFF"/>
          <w:lang w:eastAsia="zh-CN"/>
        </w:rPr>
        <w:t>。</w:t>
      </w:r>
    </w:p>
    <w:p>
      <w:pPr>
        <w:pStyle w:val="1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1676" w:leftChars="684" w:right="0" w:hanging="240" w:hangingChars="100"/>
        <w:jc w:val="left"/>
        <w:textAlignment w:val="auto"/>
        <w:rPr>
          <w:rFonts w:hint="eastAsia" w:asciiTheme="minorEastAsia" w:hAnsiTheme="minorEastAsia" w:eastAsiaTheme="minorEastAsia" w:cstheme="minorEastAsia"/>
          <w:b w:val="0"/>
          <w:bCs w:val="0"/>
          <w:i w:val="0"/>
          <w:iCs w:val="0"/>
          <w:caps w:val="0"/>
          <w:color w:val="000000"/>
          <w:spacing w:val="0"/>
          <w:sz w:val="24"/>
          <w:szCs w:val="24"/>
          <w:shd w:val="clear" w:fill="FFFFFF"/>
          <w:lang w:eastAsia="zh-CN"/>
        </w:rPr>
      </w:pPr>
      <w:r>
        <w:rPr>
          <w:rFonts w:hint="eastAsia" w:asciiTheme="minorEastAsia" w:hAnsiTheme="minorEastAsia" w:eastAsiaTheme="minorEastAsia" w:cstheme="minorEastAsia"/>
          <w:b w:val="0"/>
          <w:bCs w:val="0"/>
          <w:i w:val="0"/>
          <w:iCs w:val="0"/>
          <w:caps w:val="0"/>
          <w:color w:val="000000"/>
          <w:spacing w:val="0"/>
          <w:sz w:val="24"/>
          <w:szCs w:val="24"/>
          <w:shd w:val="clear" w:fill="FFFFFF"/>
          <w:lang w:eastAsia="zh-CN"/>
        </w:rPr>
        <w:t>6</w:t>
      </w:r>
      <w:r>
        <w:rPr>
          <w:rFonts w:hint="eastAsia" w:asciiTheme="minorEastAsia" w:hAnsiTheme="minorEastAsia" w:eastAsiaTheme="minorEastAsia" w:cstheme="minorEastAsia"/>
          <w:b w:val="0"/>
          <w:bCs w:val="0"/>
          <w:i w:val="0"/>
          <w:iCs w:val="0"/>
          <w:caps w:val="0"/>
          <w:color w:val="000000"/>
          <w:spacing w:val="0"/>
          <w:sz w:val="24"/>
          <w:szCs w:val="24"/>
          <w:shd w:val="clear" w:fill="FFFFFF"/>
          <w:lang w:val="en-US" w:eastAsia="zh-CN"/>
        </w:rPr>
        <w:t>.</w:t>
      </w:r>
      <w:r>
        <w:rPr>
          <w:rFonts w:hint="eastAsia" w:asciiTheme="minorEastAsia" w:hAnsiTheme="minorEastAsia" w:eastAsiaTheme="minorEastAsia" w:cstheme="minorEastAsia"/>
          <w:b w:val="0"/>
          <w:bCs w:val="0"/>
          <w:i w:val="0"/>
          <w:iCs w:val="0"/>
          <w:caps w:val="0"/>
          <w:color w:val="000000"/>
          <w:spacing w:val="0"/>
          <w:sz w:val="24"/>
          <w:szCs w:val="24"/>
          <w:shd w:val="clear" w:fill="FFFFFF"/>
          <w:lang w:eastAsia="zh-CN"/>
        </w:rPr>
        <w:t>学前教育毛入园率=学前教育在园（班）幼儿总数/3～5岁年龄组人口数（个别地区为4～6岁年龄组人口数）*100%。注：分地区测算时分母采用常住人口数据，学前教育学龄人口年龄范围根据各地规定确定。</w:t>
      </w:r>
    </w:p>
    <w:p>
      <w:pPr>
        <w:pStyle w:val="1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1676" w:leftChars="684" w:right="0" w:hanging="240" w:hangingChars="100"/>
        <w:jc w:val="left"/>
        <w:textAlignment w:val="auto"/>
        <w:rPr>
          <w:rFonts w:hint="eastAsia" w:ascii="仿宋_GB2312" w:hAnsi="仿宋_GB2312" w:eastAsia="仿宋_GB2312" w:cs="仿宋_GB2312"/>
          <w:snapToGrid w:val="0"/>
          <w:spacing w:val="0"/>
          <w:sz w:val="28"/>
          <w:szCs w:val="28"/>
          <w:lang w:eastAsia="zh-CN"/>
        </w:rPr>
      </w:pPr>
      <w:r>
        <w:rPr>
          <w:rFonts w:hint="eastAsia" w:asciiTheme="minorEastAsia" w:hAnsiTheme="minorEastAsia" w:eastAsiaTheme="minorEastAsia" w:cstheme="minorEastAsia"/>
          <w:b w:val="0"/>
          <w:bCs w:val="0"/>
          <w:i w:val="0"/>
          <w:iCs w:val="0"/>
          <w:caps w:val="0"/>
          <w:color w:val="000000"/>
          <w:spacing w:val="0"/>
          <w:sz w:val="24"/>
          <w:szCs w:val="24"/>
          <w:shd w:val="clear" w:fill="FFFFFF"/>
          <w:lang w:eastAsia="zh-CN"/>
        </w:rPr>
        <w:t>7</w:t>
      </w:r>
      <w:r>
        <w:rPr>
          <w:rFonts w:hint="eastAsia" w:asciiTheme="minorEastAsia" w:hAnsiTheme="minorEastAsia" w:eastAsiaTheme="minorEastAsia" w:cstheme="minorEastAsia"/>
          <w:b w:val="0"/>
          <w:bCs w:val="0"/>
          <w:i w:val="0"/>
          <w:iCs w:val="0"/>
          <w:caps w:val="0"/>
          <w:color w:val="000000"/>
          <w:spacing w:val="0"/>
          <w:sz w:val="24"/>
          <w:szCs w:val="24"/>
          <w:shd w:val="clear" w:fill="FFFFFF"/>
          <w:lang w:val="en-US" w:eastAsia="zh-CN"/>
        </w:rPr>
        <w:t>.</w:t>
      </w:r>
      <w:r>
        <w:rPr>
          <w:rFonts w:hint="eastAsia" w:asciiTheme="minorEastAsia" w:hAnsiTheme="minorEastAsia" w:eastAsiaTheme="minorEastAsia" w:cstheme="minorEastAsia"/>
          <w:b w:val="0"/>
          <w:bCs w:val="0"/>
          <w:i w:val="0"/>
          <w:iCs w:val="0"/>
          <w:caps w:val="0"/>
          <w:color w:val="000000"/>
          <w:spacing w:val="0"/>
          <w:sz w:val="24"/>
          <w:szCs w:val="24"/>
          <w:shd w:val="clear" w:fill="FFFFFF"/>
          <w:lang w:eastAsia="zh-CN"/>
        </w:rPr>
        <w:t>义务教育阶段年度巩固率=（本年度二年级至九年级在校生总数-本年度九年级重读生+一年级重读生）/上年度一年级至八年级在校生总数*100%。注：①地方测算时可将符合规定且办理正式手续的转学、休学等因素纳入考虑。②该指标直接体现政府年度控辍保学的成效，可用于对地方义务教育巩固率的监测评价。</w:t>
      </w: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2"/>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posOffset>9424035</wp:posOffset>
              </wp:positionV>
              <wp:extent cx="787400" cy="217805"/>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787400" cy="217805"/>
                      </a:xfrm>
                      <a:prstGeom prst="rect">
                        <a:avLst/>
                      </a:prstGeom>
                      <a:noFill/>
                      <a:ln>
                        <a:noFill/>
                      </a:ln>
                    </wps:spPr>
                    <wps:txbx>
                      <w:txbxContent>
                        <w:p>
                          <w:pPr>
                            <w:pStyle w:val="7"/>
                            <w:spacing w:line="322" w:lineRule="exact"/>
                            <w:ind w:left="20"/>
                          </w:pPr>
                          <w:r>
                            <w:rPr>
                              <w:sz w:val="28"/>
                              <w:szCs w:val="28"/>
                            </w:rPr>
                            <w:t>—</w:t>
                          </w:r>
                          <w:r>
                            <w:rPr>
                              <w:spacing w:val="1"/>
                              <w:sz w:val="28"/>
                              <w:szCs w:val="28"/>
                            </w:rPr>
                            <w:t xml:space="preserve"> </w:t>
                          </w:r>
                          <w:r>
                            <w:rPr>
                              <w:sz w:val="28"/>
                              <w:szCs w:val="28"/>
                            </w:rPr>
                            <w:fldChar w:fldCharType="begin"/>
                          </w:r>
                          <w:r>
                            <w:rPr>
                              <w:sz w:val="28"/>
                              <w:szCs w:val="28"/>
                            </w:rPr>
                            <w:instrText xml:space="preserve"> PAGE </w:instrText>
                          </w:r>
                          <w:r>
                            <w:rPr>
                              <w:sz w:val="28"/>
                              <w:szCs w:val="28"/>
                            </w:rPr>
                            <w:fldChar w:fldCharType="separate"/>
                          </w:r>
                          <w:r>
                            <w:rPr>
                              <w:sz w:val="28"/>
                              <w:szCs w:val="28"/>
                            </w:rPr>
                            <w:t>4</w:t>
                          </w:r>
                          <w:r>
                            <w:rPr>
                              <w:sz w:val="28"/>
                              <w:szCs w:val="28"/>
                            </w:rPr>
                            <w:fldChar w:fldCharType="end"/>
                          </w:r>
                          <w:r>
                            <w:rPr>
                              <w:spacing w:val="-3"/>
                              <w:sz w:val="28"/>
                              <w:szCs w:val="28"/>
                            </w:rPr>
                            <w:t xml:space="preserve"> </w:t>
                          </w:r>
                          <w:r>
                            <w:rPr>
                              <w:sz w:val="28"/>
                              <w:szCs w:val="28"/>
                            </w:rPr>
                            <w:t>—</w:t>
                          </w:r>
                        </w:p>
                      </w:txbxContent>
                    </wps:txbx>
                    <wps:bodyPr lIns="0" tIns="0" rIns="0" bIns="0" upright="true"/>
                  </wps:wsp>
                </a:graphicData>
              </a:graphic>
            </wp:anchor>
          </w:drawing>
        </mc:Choice>
        <mc:Fallback>
          <w:pict>
            <v:shape id="文本框 1025" o:spid="_x0000_s1026" o:spt="202" type="#_x0000_t202" style="position:absolute;left:0pt;margin-top:742.05pt;height:17.15pt;width:62pt;mso-position-horizontal:center;mso-position-horizontal-relative:margin;mso-position-vertical-relative:page;z-index:251660288;mso-width-relative:page;mso-height-relative:page;" filled="f" stroked="f" coordsize="21600,21600" o:gfxdata="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BExDRr2AAAAAoBAAAPAAAAAAAAAAEAIAAAADgAAABkcnMvZG93bnJldi54bWxQSwECFAAU&#10;AAAACACHTuJAS6sfMaIBAAAsAwAADgAAAAAAAAABACAAAAA9AQAAZHJzL2Uyb0RvYy54bWxQSwUG&#10;AAAAAAYABgBZAQAAUQUAAAAA&#10;">
              <v:fill on="f" focussize="0,0"/>
              <v:stroke on="f"/>
              <v:imagedata o:title=""/>
              <o:lock v:ext="edit" aspectratio="f"/>
              <v:textbox inset="0mm,0mm,0mm,0mm">
                <w:txbxContent>
                  <w:p>
                    <w:pPr>
                      <w:pStyle w:val="7"/>
                      <w:spacing w:line="322" w:lineRule="exact"/>
                      <w:ind w:left="20"/>
                    </w:pPr>
                    <w:r>
                      <w:rPr>
                        <w:sz w:val="28"/>
                        <w:szCs w:val="28"/>
                      </w:rPr>
                      <w:t>—</w:t>
                    </w:r>
                    <w:r>
                      <w:rPr>
                        <w:spacing w:val="1"/>
                        <w:sz w:val="28"/>
                        <w:szCs w:val="28"/>
                      </w:rPr>
                      <w:t xml:space="preserve"> </w:t>
                    </w:r>
                    <w:r>
                      <w:rPr>
                        <w:sz w:val="28"/>
                        <w:szCs w:val="28"/>
                      </w:rPr>
                      <w:fldChar w:fldCharType="begin"/>
                    </w:r>
                    <w:r>
                      <w:rPr>
                        <w:sz w:val="28"/>
                        <w:szCs w:val="28"/>
                      </w:rPr>
                      <w:instrText xml:space="preserve"> PAGE </w:instrText>
                    </w:r>
                    <w:r>
                      <w:rPr>
                        <w:sz w:val="28"/>
                        <w:szCs w:val="28"/>
                      </w:rPr>
                      <w:fldChar w:fldCharType="separate"/>
                    </w:r>
                    <w:r>
                      <w:rPr>
                        <w:sz w:val="28"/>
                        <w:szCs w:val="28"/>
                      </w:rPr>
                      <w:t>4</w:t>
                    </w:r>
                    <w:r>
                      <w:rPr>
                        <w:sz w:val="28"/>
                        <w:szCs w:val="28"/>
                      </w:rPr>
                      <w:fldChar w:fldCharType="end"/>
                    </w:r>
                    <w:r>
                      <w:rPr>
                        <w:spacing w:val="-3"/>
                        <w:sz w:val="28"/>
                        <w:szCs w:val="28"/>
                      </w:rPr>
                      <w:t xml:space="preserve"> </w:t>
                    </w:r>
                    <w:r>
                      <w:rPr>
                        <w:sz w:val="28"/>
                        <w:szCs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sdt>
                          <w:sdtPr>
                            <w:id w:val="1671121954"/>
                          </w:sdtPr>
                          <w:sdtContent>
                            <w:p>
                              <w:pPr>
                                <w:pStyle w:val="9"/>
                                <w:jc w:val="center"/>
                              </w:pPr>
                              <w:r>
                                <w:rPr>
                                  <w:rFonts w:hint="eastAsia"/>
                                  <w:sz w:val="28"/>
                                  <w:szCs w:val="28"/>
                                  <w:lang w:eastAsia="zh-CN"/>
                                </w:rPr>
                                <w:t>—</w:t>
                              </w:r>
                              <w:r>
                                <w:rPr>
                                  <w:rFonts w:hint="eastAsia"/>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75</w:t>
                              </w:r>
                              <w:r>
                                <w:rPr>
                                  <w:sz w:val="28"/>
                                  <w:szCs w:val="28"/>
                                  <w:lang w:val="zh-CN"/>
                                </w:rPr>
                                <w:fldChar w:fldCharType="end"/>
                              </w:r>
                              <w:r>
                                <w:rPr>
                                  <w:rFonts w:hint="eastAsia"/>
                                  <w:sz w:val="28"/>
                                  <w:szCs w:val="28"/>
                                  <w:lang w:val="en-US" w:eastAsia="zh-CN"/>
                                </w:rPr>
                                <w:t xml:space="preserve"> —</w:t>
                              </w:r>
                            </w:p>
                          </w:sdtContent>
                        </w:sdt>
                        <w:p>
                          <w:pPr>
                            <w:pStyle w:val="2"/>
                          </w:pP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CNfcMGwIAACcEAAAOAAAAAAAAAAEAIAAAADUBAABkcnMvZTJvRG9jLnhtbFBLBQYA&#10;AAAABgAGAFkBAADCBQAAAAA=&#10;">
              <v:fill on="f" focussize="0,0"/>
              <v:stroke on="f" weight="0.5pt"/>
              <v:imagedata o:title=""/>
              <o:lock v:ext="edit" aspectratio="f"/>
              <v:textbox inset="0mm,0mm,0mm,0mm" style="mso-fit-shape-to-text:t;">
                <w:txbxContent>
                  <w:sdt>
                    <w:sdtPr>
                      <w:id w:val="1671121954"/>
                    </w:sdtPr>
                    <w:sdtContent>
                      <w:p>
                        <w:pPr>
                          <w:pStyle w:val="9"/>
                          <w:jc w:val="center"/>
                        </w:pPr>
                        <w:r>
                          <w:rPr>
                            <w:rFonts w:hint="eastAsia"/>
                            <w:sz w:val="28"/>
                            <w:szCs w:val="28"/>
                            <w:lang w:eastAsia="zh-CN"/>
                          </w:rPr>
                          <w:t>—</w:t>
                        </w:r>
                        <w:r>
                          <w:rPr>
                            <w:rFonts w:hint="eastAsia"/>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75</w:t>
                        </w:r>
                        <w:r>
                          <w:rPr>
                            <w:sz w:val="28"/>
                            <w:szCs w:val="28"/>
                            <w:lang w:val="zh-CN"/>
                          </w:rPr>
                          <w:fldChar w:fldCharType="end"/>
                        </w:r>
                        <w:r>
                          <w:rPr>
                            <w:rFonts w:hint="eastAsia"/>
                            <w:sz w:val="28"/>
                            <w:szCs w:val="28"/>
                            <w:lang w:val="en-US" w:eastAsia="zh-CN"/>
                          </w:rPr>
                          <w:t xml:space="preserve"> —</w:t>
                        </w:r>
                      </w:p>
                    </w:sdtContent>
                  </w:sdt>
                  <w:p>
                    <w:pPr>
                      <w:pStyle w:val="2"/>
                    </w:pPr>
                  </w:p>
                </w:txbxContent>
              </v:textbox>
            </v:shape>
          </w:pict>
        </mc:Fallback>
      </mc:AlternateContent>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DD2049"/>
    <w:multiLevelType w:val="singleLevel"/>
    <w:tmpl w:val="EBDD2049"/>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kODVkYWI5MmYzMmJkNmRjM2M2ZjM3ZDg5NjUwODQifQ=="/>
  </w:docVars>
  <w:rsids>
    <w:rsidRoot w:val="6FD710D1"/>
    <w:rsid w:val="00000E40"/>
    <w:rsid w:val="00001D96"/>
    <w:rsid w:val="000020A7"/>
    <w:rsid w:val="00002946"/>
    <w:rsid w:val="00003C57"/>
    <w:rsid w:val="00004A16"/>
    <w:rsid w:val="000062A7"/>
    <w:rsid w:val="0000647F"/>
    <w:rsid w:val="00011224"/>
    <w:rsid w:val="00011543"/>
    <w:rsid w:val="000130A6"/>
    <w:rsid w:val="00013390"/>
    <w:rsid w:val="000133D8"/>
    <w:rsid w:val="00013708"/>
    <w:rsid w:val="00013A96"/>
    <w:rsid w:val="00017C7C"/>
    <w:rsid w:val="00021B92"/>
    <w:rsid w:val="00021FF8"/>
    <w:rsid w:val="00022DBB"/>
    <w:rsid w:val="00023465"/>
    <w:rsid w:val="00024339"/>
    <w:rsid w:val="000245C0"/>
    <w:rsid w:val="00024911"/>
    <w:rsid w:val="00024B78"/>
    <w:rsid w:val="000267A5"/>
    <w:rsid w:val="00030089"/>
    <w:rsid w:val="00031A7E"/>
    <w:rsid w:val="00035627"/>
    <w:rsid w:val="000368C3"/>
    <w:rsid w:val="00036D7B"/>
    <w:rsid w:val="0003742E"/>
    <w:rsid w:val="0004044E"/>
    <w:rsid w:val="00042DA6"/>
    <w:rsid w:val="000460F7"/>
    <w:rsid w:val="000465B2"/>
    <w:rsid w:val="0005369D"/>
    <w:rsid w:val="000545CF"/>
    <w:rsid w:val="00054C28"/>
    <w:rsid w:val="00055401"/>
    <w:rsid w:val="00056DEF"/>
    <w:rsid w:val="000571AF"/>
    <w:rsid w:val="000612B2"/>
    <w:rsid w:val="000650D8"/>
    <w:rsid w:val="00066C75"/>
    <w:rsid w:val="00070717"/>
    <w:rsid w:val="00071C26"/>
    <w:rsid w:val="00072B9A"/>
    <w:rsid w:val="0007357B"/>
    <w:rsid w:val="000742C4"/>
    <w:rsid w:val="00076D44"/>
    <w:rsid w:val="0008175C"/>
    <w:rsid w:val="00083A33"/>
    <w:rsid w:val="0008434D"/>
    <w:rsid w:val="00084FAA"/>
    <w:rsid w:val="00085D07"/>
    <w:rsid w:val="00087C53"/>
    <w:rsid w:val="0009106E"/>
    <w:rsid w:val="000914D4"/>
    <w:rsid w:val="000914F9"/>
    <w:rsid w:val="000915E4"/>
    <w:rsid w:val="0009253E"/>
    <w:rsid w:val="00092EB1"/>
    <w:rsid w:val="00093673"/>
    <w:rsid w:val="00094E96"/>
    <w:rsid w:val="0009622D"/>
    <w:rsid w:val="000A0EA3"/>
    <w:rsid w:val="000A6215"/>
    <w:rsid w:val="000A6EE5"/>
    <w:rsid w:val="000A7125"/>
    <w:rsid w:val="000A760F"/>
    <w:rsid w:val="000B225D"/>
    <w:rsid w:val="000B243A"/>
    <w:rsid w:val="000B6570"/>
    <w:rsid w:val="000B6BCE"/>
    <w:rsid w:val="000C3D6A"/>
    <w:rsid w:val="000C6911"/>
    <w:rsid w:val="000C7CF3"/>
    <w:rsid w:val="000D2623"/>
    <w:rsid w:val="000D4D5C"/>
    <w:rsid w:val="000D50CA"/>
    <w:rsid w:val="000D566B"/>
    <w:rsid w:val="000D6466"/>
    <w:rsid w:val="000E41FA"/>
    <w:rsid w:val="000E4C6D"/>
    <w:rsid w:val="000E4E14"/>
    <w:rsid w:val="000E5674"/>
    <w:rsid w:val="000E70C6"/>
    <w:rsid w:val="000E7BC6"/>
    <w:rsid w:val="000F07D8"/>
    <w:rsid w:val="000F21E9"/>
    <w:rsid w:val="000F6A57"/>
    <w:rsid w:val="00100948"/>
    <w:rsid w:val="001017A9"/>
    <w:rsid w:val="0010313A"/>
    <w:rsid w:val="00104C39"/>
    <w:rsid w:val="00105BBF"/>
    <w:rsid w:val="001064BA"/>
    <w:rsid w:val="001068C1"/>
    <w:rsid w:val="00110B5D"/>
    <w:rsid w:val="0011127C"/>
    <w:rsid w:val="001112C7"/>
    <w:rsid w:val="00113722"/>
    <w:rsid w:val="0011542D"/>
    <w:rsid w:val="00116E55"/>
    <w:rsid w:val="00121807"/>
    <w:rsid w:val="00123494"/>
    <w:rsid w:val="00127199"/>
    <w:rsid w:val="00127335"/>
    <w:rsid w:val="001316DD"/>
    <w:rsid w:val="0013376B"/>
    <w:rsid w:val="00133DA2"/>
    <w:rsid w:val="00135336"/>
    <w:rsid w:val="00135CF1"/>
    <w:rsid w:val="00136BCF"/>
    <w:rsid w:val="001411D9"/>
    <w:rsid w:val="001414BD"/>
    <w:rsid w:val="001456C1"/>
    <w:rsid w:val="0014743B"/>
    <w:rsid w:val="0014779D"/>
    <w:rsid w:val="00147D56"/>
    <w:rsid w:val="0015013E"/>
    <w:rsid w:val="00150ACD"/>
    <w:rsid w:val="001510CC"/>
    <w:rsid w:val="00153F64"/>
    <w:rsid w:val="001545B6"/>
    <w:rsid w:val="00154CF1"/>
    <w:rsid w:val="001572CA"/>
    <w:rsid w:val="001606BC"/>
    <w:rsid w:val="001620ED"/>
    <w:rsid w:val="001630DB"/>
    <w:rsid w:val="00164610"/>
    <w:rsid w:val="001664F9"/>
    <w:rsid w:val="001678DD"/>
    <w:rsid w:val="00173092"/>
    <w:rsid w:val="00173923"/>
    <w:rsid w:val="00174364"/>
    <w:rsid w:val="00174BE5"/>
    <w:rsid w:val="00176931"/>
    <w:rsid w:val="00177E84"/>
    <w:rsid w:val="001818CE"/>
    <w:rsid w:val="00183186"/>
    <w:rsid w:val="00183507"/>
    <w:rsid w:val="001846BD"/>
    <w:rsid w:val="00185A84"/>
    <w:rsid w:val="00186F01"/>
    <w:rsid w:val="001912AF"/>
    <w:rsid w:val="00191740"/>
    <w:rsid w:val="00193A81"/>
    <w:rsid w:val="00194905"/>
    <w:rsid w:val="0019595E"/>
    <w:rsid w:val="00197567"/>
    <w:rsid w:val="001A1342"/>
    <w:rsid w:val="001A41F8"/>
    <w:rsid w:val="001A59E1"/>
    <w:rsid w:val="001A7A7A"/>
    <w:rsid w:val="001A7C73"/>
    <w:rsid w:val="001B33EF"/>
    <w:rsid w:val="001B42AE"/>
    <w:rsid w:val="001B478F"/>
    <w:rsid w:val="001B49E4"/>
    <w:rsid w:val="001B7AB3"/>
    <w:rsid w:val="001C0692"/>
    <w:rsid w:val="001C06D0"/>
    <w:rsid w:val="001C38D1"/>
    <w:rsid w:val="001C3A58"/>
    <w:rsid w:val="001C41E9"/>
    <w:rsid w:val="001C4B8E"/>
    <w:rsid w:val="001C7809"/>
    <w:rsid w:val="001D10D7"/>
    <w:rsid w:val="001D18B0"/>
    <w:rsid w:val="001D4C87"/>
    <w:rsid w:val="001D599E"/>
    <w:rsid w:val="001D6CB8"/>
    <w:rsid w:val="001D7FA8"/>
    <w:rsid w:val="001E17A3"/>
    <w:rsid w:val="001E38F9"/>
    <w:rsid w:val="001E7501"/>
    <w:rsid w:val="001E7873"/>
    <w:rsid w:val="001F0830"/>
    <w:rsid w:val="001F1830"/>
    <w:rsid w:val="001F3E38"/>
    <w:rsid w:val="001F3E4D"/>
    <w:rsid w:val="001F4F26"/>
    <w:rsid w:val="001F7817"/>
    <w:rsid w:val="001F79F4"/>
    <w:rsid w:val="001F7F78"/>
    <w:rsid w:val="002005F6"/>
    <w:rsid w:val="0020089D"/>
    <w:rsid w:val="00203B73"/>
    <w:rsid w:val="00204806"/>
    <w:rsid w:val="00205827"/>
    <w:rsid w:val="002105EF"/>
    <w:rsid w:val="00210EA4"/>
    <w:rsid w:val="002117B8"/>
    <w:rsid w:val="00211FE8"/>
    <w:rsid w:val="00213799"/>
    <w:rsid w:val="00217E4A"/>
    <w:rsid w:val="00220704"/>
    <w:rsid w:val="00220D5B"/>
    <w:rsid w:val="00222B8D"/>
    <w:rsid w:val="00223A14"/>
    <w:rsid w:val="00225EE4"/>
    <w:rsid w:val="002263D4"/>
    <w:rsid w:val="002321C2"/>
    <w:rsid w:val="002325CF"/>
    <w:rsid w:val="00232980"/>
    <w:rsid w:val="00233243"/>
    <w:rsid w:val="002335F2"/>
    <w:rsid w:val="00234BBF"/>
    <w:rsid w:val="00234EC1"/>
    <w:rsid w:val="00235453"/>
    <w:rsid w:val="002367C8"/>
    <w:rsid w:val="00236C0A"/>
    <w:rsid w:val="00237774"/>
    <w:rsid w:val="00240A60"/>
    <w:rsid w:val="00240D7A"/>
    <w:rsid w:val="002411F6"/>
    <w:rsid w:val="00241208"/>
    <w:rsid w:val="002442CB"/>
    <w:rsid w:val="00244958"/>
    <w:rsid w:val="00244DB2"/>
    <w:rsid w:val="00250592"/>
    <w:rsid w:val="00250ED9"/>
    <w:rsid w:val="0025137A"/>
    <w:rsid w:val="00252676"/>
    <w:rsid w:val="00253D3F"/>
    <w:rsid w:val="00255103"/>
    <w:rsid w:val="00255DC1"/>
    <w:rsid w:val="0025639F"/>
    <w:rsid w:val="002600F4"/>
    <w:rsid w:val="00260150"/>
    <w:rsid w:val="00261EFD"/>
    <w:rsid w:val="0026266E"/>
    <w:rsid w:val="00262CF3"/>
    <w:rsid w:val="00264C26"/>
    <w:rsid w:val="00266B1C"/>
    <w:rsid w:val="0027229D"/>
    <w:rsid w:val="002724CD"/>
    <w:rsid w:val="00272E7A"/>
    <w:rsid w:val="00282630"/>
    <w:rsid w:val="00283411"/>
    <w:rsid w:val="00283570"/>
    <w:rsid w:val="00284DCE"/>
    <w:rsid w:val="00287436"/>
    <w:rsid w:val="002919A3"/>
    <w:rsid w:val="00292784"/>
    <w:rsid w:val="00294B79"/>
    <w:rsid w:val="00295585"/>
    <w:rsid w:val="00295588"/>
    <w:rsid w:val="00296CC2"/>
    <w:rsid w:val="00296D3E"/>
    <w:rsid w:val="00296DE1"/>
    <w:rsid w:val="00296F24"/>
    <w:rsid w:val="00297838"/>
    <w:rsid w:val="002A112A"/>
    <w:rsid w:val="002A21BE"/>
    <w:rsid w:val="002A4142"/>
    <w:rsid w:val="002A56A4"/>
    <w:rsid w:val="002A5DCA"/>
    <w:rsid w:val="002A7883"/>
    <w:rsid w:val="002B0682"/>
    <w:rsid w:val="002B31D0"/>
    <w:rsid w:val="002B36A5"/>
    <w:rsid w:val="002B3AD8"/>
    <w:rsid w:val="002B4AD4"/>
    <w:rsid w:val="002B7ECE"/>
    <w:rsid w:val="002C0AC7"/>
    <w:rsid w:val="002C2B2C"/>
    <w:rsid w:val="002C2D8A"/>
    <w:rsid w:val="002C3250"/>
    <w:rsid w:val="002D05DA"/>
    <w:rsid w:val="002D241E"/>
    <w:rsid w:val="002D242D"/>
    <w:rsid w:val="002D25FE"/>
    <w:rsid w:val="002D26ED"/>
    <w:rsid w:val="002D2717"/>
    <w:rsid w:val="002D4391"/>
    <w:rsid w:val="002D67E0"/>
    <w:rsid w:val="002D7096"/>
    <w:rsid w:val="002D70EB"/>
    <w:rsid w:val="002D7D2A"/>
    <w:rsid w:val="002E02AE"/>
    <w:rsid w:val="002E0CBB"/>
    <w:rsid w:val="002E1D39"/>
    <w:rsid w:val="002E3C66"/>
    <w:rsid w:val="002E4868"/>
    <w:rsid w:val="002F0985"/>
    <w:rsid w:val="002F0F2D"/>
    <w:rsid w:val="002F1204"/>
    <w:rsid w:val="002F20F0"/>
    <w:rsid w:val="002F219A"/>
    <w:rsid w:val="002F425D"/>
    <w:rsid w:val="002F4C2C"/>
    <w:rsid w:val="002F4CCD"/>
    <w:rsid w:val="002F6073"/>
    <w:rsid w:val="002F724B"/>
    <w:rsid w:val="002F7509"/>
    <w:rsid w:val="0030035E"/>
    <w:rsid w:val="003004A3"/>
    <w:rsid w:val="0030068A"/>
    <w:rsid w:val="00301A37"/>
    <w:rsid w:val="003022CF"/>
    <w:rsid w:val="0030244F"/>
    <w:rsid w:val="00302575"/>
    <w:rsid w:val="00302722"/>
    <w:rsid w:val="00303565"/>
    <w:rsid w:val="00305980"/>
    <w:rsid w:val="00306213"/>
    <w:rsid w:val="0031103C"/>
    <w:rsid w:val="0031153B"/>
    <w:rsid w:val="00313C10"/>
    <w:rsid w:val="00315650"/>
    <w:rsid w:val="0031565F"/>
    <w:rsid w:val="0031722A"/>
    <w:rsid w:val="00317583"/>
    <w:rsid w:val="00321CEB"/>
    <w:rsid w:val="00321D6C"/>
    <w:rsid w:val="00322A60"/>
    <w:rsid w:val="00322FF6"/>
    <w:rsid w:val="003230D7"/>
    <w:rsid w:val="00323103"/>
    <w:rsid w:val="00323684"/>
    <w:rsid w:val="0032404E"/>
    <w:rsid w:val="003244BC"/>
    <w:rsid w:val="0032478C"/>
    <w:rsid w:val="00324AAA"/>
    <w:rsid w:val="003302C6"/>
    <w:rsid w:val="003347F9"/>
    <w:rsid w:val="0033508E"/>
    <w:rsid w:val="003354F5"/>
    <w:rsid w:val="00335687"/>
    <w:rsid w:val="0033588C"/>
    <w:rsid w:val="003402B0"/>
    <w:rsid w:val="00340BA5"/>
    <w:rsid w:val="00341CC2"/>
    <w:rsid w:val="00342867"/>
    <w:rsid w:val="0034306E"/>
    <w:rsid w:val="00344FAB"/>
    <w:rsid w:val="00351B3C"/>
    <w:rsid w:val="003524F7"/>
    <w:rsid w:val="00352E4E"/>
    <w:rsid w:val="0035409C"/>
    <w:rsid w:val="003542B0"/>
    <w:rsid w:val="00357611"/>
    <w:rsid w:val="00357B37"/>
    <w:rsid w:val="00357FDE"/>
    <w:rsid w:val="00360631"/>
    <w:rsid w:val="00361425"/>
    <w:rsid w:val="0036152F"/>
    <w:rsid w:val="00361D9C"/>
    <w:rsid w:val="00362150"/>
    <w:rsid w:val="003623E3"/>
    <w:rsid w:val="00363B82"/>
    <w:rsid w:val="00364A48"/>
    <w:rsid w:val="00366D3B"/>
    <w:rsid w:val="00367A21"/>
    <w:rsid w:val="00370658"/>
    <w:rsid w:val="00372077"/>
    <w:rsid w:val="003736E4"/>
    <w:rsid w:val="0037389A"/>
    <w:rsid w:val="0037390D"/>
    <w:rsid w:val="003741DC"/>
    <w:rsid w:val="003744C9"/>
    <w:rsid w:val="00375579"/>
    <w:rsid w:val="00376594"/>
    <w:rsid w:val="003769EE"/>
    <w:rsid w:val="00376FD5"/>
    <w:rsid w:val="003809E6"/>
    <w:rsid w:val="00380EDD"/>
    <w:rsid w:val="00382071"/>
    <w:rsid w:val="00385814"/>
    <w:rsid w:val="00387E0F"/>
    <w:rsid w:val="003917DD"/>
    <w:rsid w:val="00393ACC"/>
    <w:rsid w:val="00393ED2"/>
    <w:rsid w:val="003966DB"/>
    <w:rsid w:val="00397700"/>
    <w:rsid w:val="00397DF2"/>
    <w:rsid w:val="003A0DC3"/>
    <w:rsid w:val="003A19A5"/>
    <w:rsid w:val="003A450E"/>
    <w:rsid w:val="003A55FB"/>
    <w:rsid w:val="003A5BD8"/>
    <w:rsid w:val="003A5E30"/>
    <w:rsid w:val="003B0D9A"/>
    <w:rsid w:val="003B17F7"/>
    <w:rsid w:val="003B65BD"/>
    <w:rsid w:val="003B74DB"/>
    <w:rsid w:val="003C0BF9"/>
    <w:rsid w:val="003C1D2F"/>
    <w:rsid w:val="003C21F3"/>
    <w:rsid w:val="003C3D1A"/>
    <w:rsid w:val="003C538E"/>
    <w:rsid w:val="003C66F2"/>
    <w:rsid w:val="003D238B"/>
    <w:rsid w:val="003D26FC"/>
    <w:rsid w:val="003D604F"/>
    <w:rsid w:val="003D7EA8"/>
    <w:rsid w:val="003E152E"/>
    <w:rsid w:val="003E1C82"/>
    <w:rsid w:val="003E1DE0"/>
    <w:rsid w:val="003E2B1D"/>
    <w:rsid w:val="003E3148"/>
    <w:rsid w:val="003F3A1C"/>
    <w:rsid w:val="003F439B"/>
    <w:rsid w:val="003F4CA6"/>
    <w:rsid w:val="003F5657"/>
    <w:rsid w:val="003F60B7"/>
    <w:rsid w:val="003F63FA"/>
    <w:rsid w:val="00403495"/>
    <w:rsid w:val="00406084"/>
    <w:rsid w:val="00412F6E"/>
    <w:rsid w:val="004135AB"/>
    <w:rsid w:val="004155E5"/>
    <w:rsid w:val="00420BBE"/>
    <w:rsid w:val="00424D62"/>
    <w:rsid w:val="004262ED"/>
    <w:rsid w:val="004330D2"/>
    <w:rsid w:val="00441582"/>
    <w:rsid w:val="00441A58"/>
    <w:rsid w:val="00442DF5"/>
    <w:rsid w:val="004442BD"/>
    <w:rsid w:val="00445ABD"/>
    <w:rsid w:val="00450AB8"/>
    <w:rsid w:val="004530E3"/>
    <w:rsid w:val="00453312"/>
    <w:rsid w:val="00453E7A"/>
    <w:rsid w:val="00454ECB"/>
    <w:rsid w:val="00457B02"/>
    <w:rsid w:val="00460910"/>
    <w:rsid w:val="004613AF"/>
    <w:rsid w:val="00462784"/>
    <w:rsid w:val="00462D9D"/>
    <w:rsid w:val="00462E77"/>
    <w:rsid w:val="004635CC"/>
    <w:rsid w:val="004663AB"/>
    <w:rsid w:val="004709D8"/>
    <w:rsid w:val="00470AAF"/>
    <w:rsid w:val="0047162B"/>
    <w:rsid w:val="00471E5C"/>
    <w:rsid w:val="00472440"/>
    <w:rsid w:val="00474D2A"/>
    <w:rsid w:val="004750ED"/>
    <w:rsid w:val="00480188"/>
    <w:rsid w:val="00480700"/>
    <w:rsid w:val="00480768"/>
    <w:rsid w:val="0048409A"/>
    <w:rsid w:val="00485217"/>
    <w:rsid w:val="00493731"/>
    <w:rsid w:val="004967FF"/>
    <w:rsid w:val="004A059B"/>
    <w:rsid w:val="004A0D15"/>
    <w:rsid w:val="004A1077"/>
    <w:rsid w:val="004A1A6B"/>
    <w:rsid w:val="004A44E0"/>
    <w:rsid w:val="004A6281"/>
    <w:rsid w:val="004B23CD"/>
    <w:rsid w:val="004B2DCE"/>
    <w:rsid w:val="004B6424"/>
    <w:rsid w:val="004B6B21"/>
    <w:rsid w:val="004C272C"/>
    <w:rsid w:val="004C2D98"/>
    <w:rsid w:val="004C3E84"/>
    <w:rsid w:val="004C400C"/>
    <w:rsid w:val="004C48F2"/>
    <w:rsid w:val="004C602C"/>
    <w:rsid w:val="004C6291"/>
    <w:rsid w:val="004D0817"/>
    <w:rsid w:val="004D0BA5"/>
    <w:rsid w:val="004D16CA"/>
    <w:rsid w:val="004D6444"/>
    <w:rsid w:val="004D7D50"/>
    <w:rsid w:val="004E0312"/>
    <w:rsid w:val="004E0CA6"/>
    <w:rsid w:val="004E1DEE"/>
    <w:rsid w:val="004E354C"/>
    <w:rsid w:val="004E5333"/>
    <w:rsid w:val="004E57A9"/>
    <w:rsid w:val="004E68EC"/>
    <w:rsid w:val="004E6D96"/>
    <w:rsid w:val="004E72A3"/>
    <w:rsid w:val="004F2880"/>
    <w:rsid w:val="00500BB7"/>
    <w:rsid w:val="00501199"/>
    <w:rsid w:val="00501E90"/>
    <w:rsid w:val="005025A6"/>
    <w:rsid w:val="00502BF0"/>
    <w:rsid w:val="005058D7"/>
    <w:rsid w:val="005062B9"/>
    <w:rsid w:val="00506542"/>
    <w:rsid w:val="00507330"/>
    <w:rsid w:val="00510841"/>
    <w:rsid w:val="00510B75"/>
    <w:rsid w:val="00512A43"/>
    <w:rsid w:val="00512DF9"/>
    <w:rsid w:val="00516D10"/>
    <w:rsid w:val="00517CCD"/>
    <w:rsid w:val="00520383"/>
    <w:rsid w:val="005211E3"/>
    <w:rsid w:val="0052142F"/>
    <w:rsid w:val="00522E40"/>
    <w:rsid w:val="005240F6"/>
    <w:rsid w:val="005273DC"/>
    <w:rsid w:val="00527E06"/>
    <w:rsid w:val="00530015"/>
    <w:rsid w:val="005307D5"/>
    <w:rsid w:val="005315D8"/>
    <w:rsid w:val="005335EA"/>
    <w:rsid w:val="00534F7A"/>
    <w:rsid w:val="005366E1"/>
    <w:rsid w:val="0053705C"/>
    <w:rsid w:val="005375B0"/>
    <w:rsid w:val="005416EC"/>
    <w:rsid w:val="005421E0"/>
    <w:rsid w:val="00544FBE"/>
    <w:rsid w:val="00545BCF"/>
    <w:rsid w:val="00546A6A"/>
    <w:rsid w:val="00547588"/>
    <w:rsid w:val="00547B63"/>
    <w:rsid w:val="005504B0"/>
    <w:rsid w:val="00550A2E"/>
    <w:rsid w:val="00555203"/>
    <w:rsid w:val="0055580C"/>
    <w:rsid w:val="0055755C"/>
    <w:rsid w:val="0056262A"/>
    <w:rsid w:val="0056376B"/>
    <w:rsid w:val="0056478C"/>
    <w:rsid w:val="005658C6"/>
    <w:rsid w:val="005658F7"/>
    <w:rsid w:val="00566324"/>
    <w:rsid w:val="00566ED2"/>
    <w:rsid w:val="0057292C"/>
    <w:rsid w:val="00574A22"/>
    <w:rsid w:val="005756D3"/>
    <w:rsid w:val="005808AC"/>
    <w:rsid w:val="00580F6E"/>
    <w:rsid w:val="00581894"/>
    <w:rsid w:val="00582116"/>
    <w:rsid w:val="005849DB"/>
    <w:rsid w:val="005865A3"/>
    <w:rsid w:val="00587244"/>
    <w:rsid w:val="00591C0B"/>
    <w:rsid w:val="00593819"/>
    <w:rsid w:val="005966BA"/>
    <w:rsid w:val="005A078F"/>
    <w:rsid w:val="005A07D0"/>
    <w:rsid w:val="005A0B81"/>
    <w:rsid w:val="005A144C"/>
    <w:rsid w:val="005A2231"/>
    <w:rsid w:val="005A3B7C"/>
    <w:rsid w:val="005A6718"/>
    <w:rsid w:val="005B0C90"/>
    <w:rsid w:val="005B22DF"/>
    <w:rsid w:val="005B28BA"/>
    <w:rsid w:val="005B334D"/>
    <w:rsid w:val="005B5752"/>
    <w:rsid w:val="005B69E7"/>
    <w:rsid w:val="005B78E2"/>
    <w:rsid w:val="005C049B"/>
    <w:rsid w:val="005C23B3"/>
    <w:rsid w:val="005C3871"/>
    <w:rsid w:val="005C5A73"/>
    <w:rsid w:val="005C73E2"/>
    <w:rsid w:val="005D0090"/>
    <w:rsid w:val="005D24C5"/>
    <w:rsid w:val="005D2505"/>
    <w:rsid w:val="005D2789"/>
    <w:rsid w:val="005D2A07"/>
    <w:rsid w:val="005D437E"/>
    <w:rsid w:val="005D47E6"/>
    <w:rsid w:val="005D63EB"/>
    <w:rsid w:val="005D74AD"/>
    <w:rsid w:val="005D78B5"/>
    <w:rsid w:val="005E0F4E"/>
    <w:rsid w:val="005E1564"/>
    <w:rsid w:val="005E2A6E"/>
    <w:rsid w:val="005E4A9D"/>
    <w:rsid w:val="005E6A07"/>
    <w:rsid w:val="005F2245"/>
    <w:rsid w:val="005F26B7"/>
    <w:rsid w:val="005F2D77"/>
    <w:rsid w:val="005F62AA"/>
    <w:rsid w:val="005F658E"/>
    <w:rsid w:val="005F6AD4"/>
    <w:rsid w:val="005F714D"/>
    <w:rsid w:val="006006A4"/>
    <w:rsid w:val="00600DAB"/>
    <w:rsid w:val="0060253D"/>
    <w:rsid w:val="00603024"/>
    <w:rsid w:val="00603862"/>
    <w:rsid w:val="00606340"/>
    <w:rsid w:val="00607932"/>
    <w:rsid w:val="0061289A"/>
    <w:rsid w:val="00614447"/>
    <w:rsid w:val="00617197"/>
    <w:rsid w:val="0061738F"/>
    <w:rsid w:val="00617A9C"/>
    <w:rsid w:val="00622882"/>
    <w:rsid w:val="00622B91"/>
    <w:rsid w:val="00623FB7"/>
    <w:rsid w:val="006253A5"/>
    <w:rsid w:val="006255D1"/>
    <w:rsid w:val="00627A24"/>
    <w:rsid w:val="0063006A"/>
    <w:rsid w:val="006304E7"/>
    <w:rsid w:val="00631B12"/>
    <w:rsid w:val="00636DD8"/>
    <w:rsid w:val="0063748F"/>
    <w:rsid w:val="006420B6"/>
    <w:rsid w:val="00642160"/>
    <w:rsid w:val="00643BD0"/>
    <w:rsid w:val="006457BC"/>
    <w:rsid w:val="00650528"/>
    <w:rsid w:val="006522A4"/>
    <w:rsid w:val="006546C6"/>
    <w:rsid w:val="00654CC6"/>
    <w:rsid w:val="0065560C"/>
    <w:rsid w:val="00655C80"/>
    <w:rsid w:val="00656E33"/>
    <w:rsid w:val="00656EE4"/>
    <w:rsid w:val="00661181"/>
    <w:rsid w:val="0066368D"/>
    <w:rsid w:val="00664D83"/>
    <w:rsid w:val="0066660E"/>
    <w:rsid w:val="006668C9"/>
    <w:rsid w:val="00670A6C"/>
    <w:rsid w:val="00671E0A"/>
    <w:rsid w:val="0067283A"/>
    <w:rsid w:val="00673970"/>
    <w:rsid w:val="00674ED4"/>
    <w:rsid w:val="00674F77"/>
    <w:rsid w:val="00676296"/>
    <w:rsid w:val="006765D4"/>
    <w:rsid w:val="00676BFC"/>
    <w:rsid w:val="00677078"/>
    <w:rsid w:val="00677122"/>
    <w:rsid w:val="00684D4B"/>
    <w:rsid w:val="00685407"/>
    <w:rsid w:val="00685633"/>
    <w:rsid w:val="00685A0E"/>
    <w:rsid w:val="00685FBB"/>
    <w:rsid w:val="0068674C"/>
    <w:rsid w:val="00686962"/>
    <w:rsid w:val="00687F35"/>
    <w:rsid w:val="0069164E"/>
    <w:rsid w:val="006916FF"/>
    <w:rsid w:val="0069535F"/>
    <w:rsid w:val="00697721"/>
    <w:rsid w:val="006A0AF2"/>
    <w:rsid w:val="006A56FF"/>
    <w:rsid w:val="006A66DF"/>
    <w:rsid w:val="006B0B3E"/>
    <w:rsid w:val="006B1E11"/>
    <w:rsid w:val="006B63A3"/>
    <w:rsid w:val="006B70C0"/>
    <w:rsid w:val="006B7DEA"/>
    <w:rsid w:val="006C155D"/>
    <w:rsid w:val="006C1A06"/>
    <w:rsid w:val="006C4245"/>
    <w:rsid w:val="006C48AE"/>
    <w:rsid w:val="006C516C"/>
    <w:rsid w:val="006C6E4B"/>
    <w:rsid w:val="006D069F"/>
    <w:rsid w:val="006D0E88"/>
    <w:rsid w:val="006D5594"/>
    <w:rsid w:val="006E0F11"/>
    <w:rsid w:val="006E1DDB"/>
    <w:rsid w:val="006E35C7"/>
    <w:rsid w:val="006E6918"/>
    <w:rsid w:val="006E69B5"/>
    <w:rsid w:val="006F03AA"/>
    <w:rsid w:val="006F181C"/>
    <w:rsid w:val="006F2C5D"/>
    <w:rsid w:val="006F3EDE"/>
    <w:rsid w:val="006F7B56"/>
    <w:rsid w:val="00700EE6"/>
    <w:rsid w:val="00702B28"/>
    <w:rsid w:val="0070520B"/>
    <w:rsid w:val="0071288D"/>
    <w:rsid w:val="00713AA7"/>
    <w:rsid w:val="00714BE2"/>
    <w:rsid w:val="00714C01"/>
    <w:rsid w:val="00720FC5"/>
    <w:rsid w:val="00721737"/>
    <w:rsid w:val="0072623A"/>
    <w:rsid w:val="00726504"/>
    <w:rsid w:val="00727818"/>
    <w:rsid w:val="007311A8"/>
    <w:rsid w:val="00734A7F"/>
    <w:rsid w:val="007356DE"/>
    <w:rsid w:val="00736B97"/>
    <w:rsid w:val="007370A8"/>
    <w:rsid w:val="00737789"/>
    <w:rsid w:val="007423FA"/>
    <w:rsid w:val="00744DC5"/>
    <w:rsid w:val="007479D8"/>
    <w:rsid w:val="007501B1"/>
    <w:rsid w:val="007517D7"/>
    <w:rsid w:val="00751EEA"/>
    <w:rsid w:val="00752E27"/>
    <w:rsid w:val="007543C8"/>
    <w:rsid w:val="00757CB5"/>
    <w:rsid w:val="00757E88"/>
    <w:rsid w:val="007605F5"/>
    <w:rsid w:val="00760773"/>
    <w:rsid w:val="0076141C"/>
    <w:rsid w:val="00763F7B"/>
    <w:rsid w:val="00766498"/>
    <w:rsid w:val="0076685F"/>
    <w:rsid w:val="00770757"/>
    <w:rsid w:val="0077078B"/>
    <w:rsid w:val="00770C64"/>
    <w:rsid w:val="00774F89"/>
    <w:rsid w:val="00775252"/>
    <w:rsid w:val="00775718"/>
    <w:rsid w:val="00775B3B"/>
    <w:rsid w:val="0078171F"/>
    <w:rsid w:val="0078469E"/>
    <w:rsid w:val="007857BB"/>
    <w:rsid w:val="007944FB"/>
    <w:rsid w:val="007A0D0E"/>
    <w:rsid w:val="007A0D22"/>
    <w:rsid w:val="007A11E0"/>
    <w:rsid w:val="007A35AD"/>
    <w:rsid w:val="007A399E"/>
    <w:rsid w:val="007A5D3B"/>
    <w:rsid w:val="007A5EC1"/>
    <w:rsid w:val="007A6D4D"/>
    <w:rsid w:val="007A7BB4"/>
    <w:rsid w:val="007B0473"/>
    <w:rsid w:val="007B08FE"/>
    <w:rsid w:val="007B3AFA"/>
    <w:rsid w:val="007B4DED"/>
    <w:rsid w:val="007B59D8"/>
    <w:rsid w:val="007B704B"/>
    <w:rsid w:val="007C158D"/>
    <w:rsid w:val="007C289A"/>
    <w:rsid w:val="007C314B"/>
    <w:rsid w:val="007C44D0"/>
    <w:rsid w:val="007C4CAC"/>
    <w:rsid w:val="007C4F38"/>
    <w:rsid w:val="007D1CD1"/>
    <w:rsid w:val="007D3A72"/>
    <w:rsid w:val="007D58D6"/>
    <w:rsid w:val="007D6925"/>
    <w:rsid w:val="007E29C8"/>
    <w:rsid w:val="007E36FD"/>
    <w:rsid w:val="007E3885"/>
    <w:rsid w:val="007E51F2"/>
    <w:rsid w:val="007E551D"/>
    <w:rsid w:val="007E5CE3"/>
    <w:rsid w:val="007E6AC4"/>
    <w:rsid w:val="007E6B33"/>
    <w:rsid w:val="007F0E06"/>
    <w:rsid w:val="007F21D9"/>
    <w:rsid w:val="007F33D1"/>
    <w:rsid w:val="007F34CE"/>
    <w:rsid w:val="007F3B04"/>
    <w:rsid w:val="007F6CF6"/>
    <w:rsid w:val="00801158"/>
    <w:rsid w:val="00801A8C"/>
    <w:rsid w:val="008027A6"/>
    <w:rsid w:val="00803A2E"/>
    <w:rsid w:val="00803D73"/>
    <w:rsid w:val="00804647"/>
    <w:rsid w:val="00805651"/>
    <w:rsid w:val="00805B1C"/>
    <w:rsid w:val="00807378"/>
    <w:rsid w:val="0080785E"/>
    <w:rsid w:val="00807D0F"/>
    <w:rsid w:val="008115C8"/>
    <w:rsid w:val="00811749"/>
    <w:rsid w:val="00814DA1"/>
    <w:rsid w:val="00815117"/>
    <w:rsid w:val="00817353"/>
    <w:rsid w:val="00821184"/>
    <w:rsid w:val="0082132F"/>
    <w:rsid w:val="008267A2"/>
    <w:rsid w:val="0083137F"/>
    <w:rsid w:val="00833184"/>
    <w:rsid w:val="008333F3"/>
    <w:rsid w:val="00834CE3"/>
    <w:rsid w:val="00835AEA"/>
    <w:rsid w:val="008415EF"/>
    <w:rsid w:val="008428C4"/>
    <w:rsid w:val="00843CCC"/>
    <w:rsid w:val="0084469E"/>
    <w:rsid w:val="00845BD3"/>
    <w:rsid w:val="00845C89"/>
    <w:rsid w:val="00846D11"/>
    <w:rsid w:val="0084792B"/>
    <w:rsid w:val="00850406"/>
    <w:rsid w:val="00851CDA"/>
    <w:rsid w:val="00852D11"/>
    <w:rsid w:val="00853FF6"/>
    <w:rsid w:val="00854E12"/>
    <w:rsid w:val="00863922"/>
    <w:rsid w:val="00863F69"/>
    <w:rsid w:val="008668AD"/>
    <w:rsid w:val="00866CB1"/>
    <w:rsid w:val="00867940"/>
    <w:rsid w:val="00867D30"/>
    <w:rsid w:val="00870F5C"/>
    <w:rsid w:val="00872774"/>
    <w:rsid w:val="008730BD"/>
    <w:rsid w:val="0087310A"/>
    <w:rsid w:val="0087359C"/>
    <w:rsid w:val="00874A11"/>
    <w:rsid w:val="00880845"/>
    <w:rsid w:val="0088088E"/>
    <w:rsid w:val="0088242F"/>
    <w:rsid w:val="00884696"/>
    <w:rsid w:val="00885BEC"/>
    <w:rsid w:val="008916F9"/>
    <w:rsid w:val="0089240C"/>
    <w:rsid w:val="008949AF"/>
    <w:rsid w:val="008951CD"/>
    <w:rsid w:val="00896CC7"/>
    <w:rsid w:val="008A05A8"/>
    <w:rsid w:val="008A06AD"/>
    <w:rsid w:val="008A272B"/>
    <w:rsid w:val="008A43AA"/>
    <w:rsid w:val="008B1614"/>
    <w:rsid w:val="008B19F4"/>
    <w:rsid w:val="008B2802"/>
    <w:rsid w:val="008B737E"/>
    <w:rsid w:val="008B74AC"/>
    <w:rsid w:val="008C18A4"/>
    <w:rsid w:val="008C1915"/>
    <w:rsid w:val="008C226B"/>
    <w:rsid w:val="008C278B"/>
    <w:rsid w:val="008C2D32"/>
    <w:rsid w:val="008C3A83"/>
    <w:rsid w:val="008C3C49"/>
    <w:rsid w:val="008C3D8D"/>
    <w:rsid w:val="008C45BE"/>
    <w:rsid w:val="008C69F3"/>
    <w:rsid w:val="008D15F6"/>
    <w:rsid w:val="008D3979"/>
    <w:rsid w:val="008D5854"/>
    <w:rsid w:val="008D7D75"/>
    <w:rsid w:val="008E2C01"/>
    <w:rsid w:val="008E4CA5"/>
    <w:rsid w:val="008E5615"/>
    <w:rsid w:val="008E61C2"/>
    <w:rsid w:val="008E717E"/>
    <w:rsid w:val="008F163B"/>
    <w:rsid w:val="008F2E26"/>
    <w:rsid w:val="008F72D9"/>
    <w:rsid w:val="009006C0"/>
    <w:rsid w:val="00900D83"/>
    <w:rsid w:val="0090335D"/>
    <w:rsid w:val="00903FDD"/>
    <w:rsid w:val="00904772"/>
    <w:rsid w:val="0090609C"/>
    <w:rsid w:val="00907159"/>
    <w:rsid w:val="00907C94"/>
    <w:rsid w:val="00907EBE"/>
    <w:rsid w:val="009138F0"/>
    <w:rsid w:val="00916BAC"/>
    <w:rsid w:val="00925CDA"/>
    <w:rsid w:val="009270FB"/>
    <w:rsid w:val="009274F5"/>
    <w:rsid w:val="00930A72"/>
    <w:rsid w:val="00932C74"/>
    <w:rsid w:val="0093449E"/>
    <w:rsid w:val="00935277"/>
    <w:rsid w:val="009359F5"/>
    <w:rsid w:val="009405D4"/>
    <w:rsid w:val="00942113"/>
    <w:rsid w:val="00943973"/>
    <w:rsid w:val="00945288"/>
    <w:rsid w:val="0094553E"/>
    <w:rsid w:val="0094592C"/>
    <w:rsid w:val="0094735C"/>
    <w:rsid w:val="00951CCF"/>
    <w:rsid w:val="009526F0"/>
    <w:rsid w:val="00952A04"/>
    <w:rsid w:val="00954B97"/>
    <w:rsid w:val="0095684A"/>
    <w:rsid w:val="00957BD6"/>
    <w:rsid w:val="00961844"/>
    <w:rsid w:val="00966C7A"/>
    <w:rsid w:val="00967E25"/>
    <w:rsid w:val="0097021A"/>
    <w:rsid w:val="009731AF"/>
    <w:rsid w:val="00973CDB"/>
    <w:rsid w:val="00974108"/>
    <w:rsid w:val="009744D3"/>
    <w:rsid w:val="00974CA0"/>
    <w:rsid w:val="00974CE6"/>
    <w:rsid w:val="00975870"/>
    <w:rsid w:val="00976C96"/>
    <w:rsid w:val="009805F1"/>
    <w:rsid w:val="009844E7"/>
    <w:rsid w:val="00985018"/>
    <w:rsid w:val="009858D9"/>
    <w:rsid w:val="00986367"/>
    <w:rsid w:val="009870FE"/>
    <w:rsid w:val="00987A58"/>
    <w:rsid w:val="0099078F"/>
    <w:rsid w:val="009935CF"/>
    <w:rsid w:val="00994235"/>
    <w:rsid w:val="0099513F"/>
    <w:rsid w:val="00997311"/>
    <w:rsid w:val="00997E71"/>
    <w:rsid w:val="009A2FB6"/>
    <w:rsid w:val="009A3247"/>
    <w:rsid w:val="009A410F"/>
    <w:rsid w:val="009A4EE9"/>
    <w:rsid w:val="009B22DE"/>
    <w:rsid w:val="009B29C0"/>
    <w:rsid w:val="009B2DDF"/>
    <w:rsid w:val="009B542C"/>
    <w:rsid w:val="009B6188"/>
    <w:rsid w:val="009C0DF3"/>
    <w:rsid w:val="009C1047"/>
    <w:rsid w:val="009C15C5"/>
    <w:rsid w:val="009C318C"/>
    <w:rsid w:val="009C5B5F"/>
    <w:rsid w:val="009C66A7"/>
    <w:rsid w:val="009C7933"/>
    <w:rsid w:val="009D0428"/>
    <w:rsid w:val="009D05EF"/>
    <w:rsid w:val="009D0A85"/>
    <w:rsid w:val="009D1011"/>
    <w:rsid w:val="009D271D"/>
    <w:rsid w:val="009D5149"/>
    <w:rsid w:val="009D64F2"/>
    <w:rsid w:val="009D7321"/>
    <w:rsid w:val="009E14F3"/>
    <w:rsid w:val="009E51C1"/>
    <w:rsid w:val="009E7BDD"/>
    <w:rsid w:val="009F0C40"/>
    <w:rsid w:val="009F1966"/>
    <w:rsid w:val="009F33CE"/>
    <w:rsid w:val="009F3929"/>
    <w:rsid w:val="009F40D4"/>
    <w:rsid w:val="009F4DC8"/>
    <w:rsid w:val="009F56AD"/>
    <w:rsid w:val="009F5980"/>
    <w:rsid w:val="009F66AF"/>
    <w:rsid w:val="009F6805"/>
    <w:rsid w:val="00A00B50"/>
    <w:rsid w:val="00A01DC6"/>
    <w:rsid w:val="00A025C6"/>
    <w:rsid w:val="00A0279E"/>
    <w:rsid w:val="00A04045"/>
    <w:rsid w:val="00A04EB3"/>
    <w:rsid w:val="00A068E0"/>
    <w:rsid w:val="00A104FB"/>
    <w:rsid w:val="00A10670"/>
    <w:rsid w:val="00A10B08"/>
    <w:rsid w:val="00A112C0"/>
    <w:rsid w:val="00A11D82"/>
    <w:rsid w:val="00A132A5"/>
    <w:rsid w:val="00A15060"/>
    <w:rsid w:val="00A23033"/>
    <w:rsid w:val="00A23221"/>
    <w:rsid w:val="00A237BA"/>
    <w:rsid w:val="00A27639"/>
    <w:rsid w:val="00A319FD"/>
    <w:rsid w:val="00A31BD9"/>
    <w:rsid w:val="00A32568"/>
    <w:rsid w:val="00A33FED"/>
    <w:rsid w:val="00A34721"/>
    <w:rsid w:val="00A36EE3"/>
    <w:rsid w:val="00A37280"/>
    <w:rsid w:val="00A40998"/>
    <w:rsid w:val="00A41C85"/>
    <w:rsid w:val="00A43BEB"/>
    <w:rsid w:val="00A457A8"/>
    <w:rsid w:val="00A46314"/>
    <w:rsid w:val="00A47842"/>
    <w:rsid w:val="00A47CA9"/>
    <w:rsid w:val="00A523AE"/>
    <w:rsid w:val="00A53E42"/>
    <w:rsid w:val="00A54CEB"/>
    <w:rsid w:val="00A54FA0"/>
    <w:rsid w:val="00A60A2E"/>
    <w:rsid w:val="00A6196D"/>
    <w:rsid w:val="00A61AE1"/>
    <w:rsid w:val="00A655A2"/>
    <w:rsid w:val="00A65BBA"/>
    <w:rsid w:val="00A66BA0"/>
    <w:rsid w:val="00A66E03"/>
    <w:rsid w:val="00A70134"/>
    <w:rsid w:val="00A706D9"/>
    <w:rsid w:val="00A70F4E"/>
    <w:rsid w:val="00A7181A"/>
    <w:rsid w:val="00A7324C"/>
    <w:rsid w:val="00A755F0"/>
    <w:rsid w:val="00A757DC"/>
    <w:rsid w:val="00A77130"/>
    <w:rsid w:val="00A8055E"/>
    <w:rsid w:val="00A80834"/>
    <w:rsid w:val="00A82FF6"/>
    <w:rsid w:val="00A85C16"/>
    <w:rsid w:val="00A8616B"/>
    <w:rsid w:val="00A90424"/>
    <w:rsid w:val="00A94594"/>
    <w:rsid w:val="00A964FA"/>
    <w:rsid w:val="00A96EED"/>
    <w:rsid w:val="00A970CA"/>
    <w:rsid w:val="00AA07BE"/>
    <w:rsid w:val="00AA24FF"/>
    <w:rsid w:val="00AA3ADA"/>
    <w:rsid w:val="00AA6ED5"/>
    <w:rsid w:val="00AB0797"/>
    <w:rsid w:val="00AB13CC"/>
    <w:rsid w:val="00AB203F"/>
    <w:rsid w:val="00AB2A9E"/>
    <w:rsid w:val="00AB2CC2"/>
    <w:rsid w:val="00AB2F6B"/>
    <w:rsid w:val="00AB32BE"/>
    <w:rsid w:val="00AB396D"/>
    <w:rsid w:val="00AB5172"/>
    <w:rsid w:val="00AB6244"/>
    <w:rsid w:val="00AC0C2C"/>
    <w:rsid w:val="00AC31D8"/>
    <w:rsid w:val="00AC3790"/>
    <w:rsid w:val="00AC39AA"/>
    <w:rsid w:val="00AC3BAB"/>
    <w:rsid w:val="00AC3E03"/>
    <w:rsid w:val="00AC41DE"/>
    <w:rsid w:val="00AC443D"/>
    <w:rsid w:val="00AC5E86"/>
    <w:rsid w:val="00AD130F"/>
    <w:rsid w:val="00AD1494"/>
    <w:rsid w:val="00AD1F67"/>
    <w:rsid w:val="00AD222B"/>
    <w:rsid w:val="00AD2734"/>
    <w:rsid w:val="00AD2F2E"/>
    <w:rsid w:val="00AD6F07"/>
    <w:rsid w:val="00AD7D78"/>
    <w:rsid w:val="00AE0444"/>
    <w:rsid w:val="00AE1106"/>
    <w:rsid w:val="00AE113C"/>
    <w:rsid w:val="00AE1322"/>
    <w:rsid w:val="00AE2EE8"/>
    <w:rsid w:val="00AE4D1E"/>
    <w:rsid w:val="00AF1EB2"/>
    <w:rsid w:val="00AF2591"/>
    <w:rsid w:val="00AF345F"/>
    <w:rsid w:val="00AF4500"/>
    <w:rsid w:val="00AF67DA"/>
    <w:rsid w:val="00AF6D76"/>
    <w:rsid w:val="00B000C4"/>
    <w:rsid w:val="00B00C83"/>
    <w:rsid w:val="00B00FA3"/>
    <w:rsid w:val="00B02000"/>
    <w:rsid w:val="00B0321C"/>
    <w:rsid w:val="00B037EC"/>
    <w:rsid w:val="00B03A1A"/>
    <w:rsid w:val="00B050CA"/>
    <w:rsid w:val="00B05AF9"/>
    <w:rsid w:val="00B10AF9"/>
    <w:rsid w:val="00B10D3F"/>
    <w:rsid w:val="00B120AC"/>
    <w:rsid w:val="00B14304"/>
    <w:rsid w:val="00B16947"/>
    <w:rsid w:val="00B175C2"/>
    <w:rsid w:val="00B20F9D"/>
    <w:rsid w:val="00B21840"/>
    <w:rsid w:val="00B22688"/>
    <w:rsid w:val="00B23B18"/>
    <w:rsid w:val="00B24869"/>
    <w:rsid w:val="00B24E94"/>
    <w:rsid w:val="00B25EC4"/>
    <w:rsid w:val="00B263C7"/>
    <w:rsid w:val="00B27E71"/>
    <w:rsid w:val="00B27ECC"/>
    <w:rsid w:val="00B30176"/>
    <w:rsid w:val="00B31586"/>
    <w:rsid w:val="00B32084"/>
    <w:rsid w:val="00B34E33"/>
    <w:rsid w:val="00B36A24"/>
    <w:rsid w:val="00B36C03"/>
    <w:rsid w:val="00B40990"/>
    <w:rsid w:val="00B467D4"/>
    <w:rsid w:val="00B46EF6"/>
    <w:rsid w:val="00B47471"/>
    <w:rsid w:val="00B476B7"/>
    <w:rsid w:val="00B503D0"/>
    <w:rsid w:val="00B51097"/>
    <w:rsid w:val="00B511C6"/>
    <w:rsid w:val="00B512CA"/>
    <w:rsid w:val="00B51302"/>
    <w:rsid w:val="00B51D07"/>
    <w:rsid w:val="00B521E8"/>
    <w:rsid w:val="00B53AFF"/>
    <w:rsid w:val="00B5763B"/>
    <w:rsid w:val="00B60CB2"/>
    <w:rsid w:val="00B62F8D"/>
    <w:rsid w:val="00B64A9C"/>
    <w:rsid w:val="00B66630"/>
    <w:rsid w:val="00B66CAB"/>
    <w:rsid w:val="00B674BA"/>
    <w:rsid w:val="00B67684"/>
    <w:rsid w:val="00B7198A"/>
    <w:rsid w:val="00B71C0D"/>
    <w:rsid w:val="00B72507"/>
    <w:rsid w:val="00B72B2D"/>
    <w:rsid w:val="00B75B91"/>
    <w:rsid w:val="00B77745"/>
    <w:rsid w:val="00B77BDE"/>
    <w:rsid w:val="00B82ED6"/>
    <w:rsid w:val="00B851C3"/>
    <w:rsid w:val="00B85E2B"/>
    <w:rsid w:val="00B861DC"/>
    <w:rsid w:val="00B86549"/>
    <w:rsid w:val="00B90992"/>
    <w:rsid w:val="00B91D75"/>
    <w:rsid w:val="00B92972"/>
    <w:rsid w:val="00B938A3"/>
    <w:rsid w:val="00B95C21"/>
    <w:rsid w:val="00B96EF4"/>
    <w:rsid w:val="00BA0870"/>
    <w:rsid w:val="00BA301F"/>
    <w:rsid w:val="00BA385B"/>
    <w:rsid w:val="00BA40D6"/>
    <w:rsid w:val="00BA4ABD"/>
    <w:rsid w:val="00BA5DF4"/>
    <w:rsid w:val="00BA622B"/>
    <w:rsid w:val="00BA78CF"/>
    <w:rsid w:val="00BB05A2"/>
    <w:rsid w:val="00BB0B1D"/>
    <w:rsid w:val="00BB3E7E"/>
    <w:rsid w:val="00BB4358"/>
    <w:rsid w:val="00BB5C45"/>
    <w:rsid w:val="00BB6360"/>
    <w:rsid w:val="00BC1642"/>
    <w:rsid w:val="00BC4B32"/>
    <w:rsid w:val="00BC6F60"/>
    <w:rsid w:val="00BC717A"/>
    <w:rsid w:val="00BD1122"/>
    <w:rsid w:val="00BD1465"/>
    <w:rsid w:val="00BD1B1E"/>
    <w:rsid w:val="00BD39AD"/>
    <w:rsid w:val="00BD5797"/>
    <w:rsid w:val="00BD6DA4"/>
    <w:rsid w:val="00BD7161"/>
    <w:rsid w:val="00BD79B8"/>
    <w:rsid w:val="00BE03F8"/>
    <w:rsid w:val="00BE11CE"/>
    <w:rsid w:val="00BE12F1"/>
    <w:rsid w:val="00BE2560"/>
    <w:rsid w:val="00BE57EE"/>
    <w:rsid w:val="00BE70B7"/>
    <w:rsid w:val="00BF0AB5"/>
    <w:rsid w:val="00BF0D53"/>
    <w:rsid w:val="00BF1682"/>
    <w:rsid w:val="00BF1DAD"/>
    <w:rsid w:val="00BF2F12"/>
    <w:rsid w:val="00BF2FE6"/>
    <w:rsid w:val="00BF4E2A"/>
    <w:rsid w:val="00BF5F72"/>
    <w:rsid w:val="00C0003B"/>
    <w:rsid w:val="00C018D6"/>
    <w:rsid w:val="00C01B98"/>
    <w:rsid w:val="00C02820"/>
    <w:rsid w:val="00C03728"/>
    <w:rsid w:val="00C0503D"/>
    <w:rsid w:val="00C06EAF"/>
    <w:rsid w:val="00C07B38"/>
    <w:rsid w:val="00C07BD8"/>
    <w:rsid w:val="00C07CFB"/>
    <w:rsid w:val="00C14136"/>
    <w:rsid w:val="00C15350"/>
    <w:rsid w:val="00C16A1C"/>
    <w:rsid w:val="00C201F1"/>
    <w:rsid w:val="00C21BA5"/>
    <w:rsid w:val="00C22147"/>
    <w:rsid w:val="00C23805"/>
    <w:rsid w:val="00C23EF7"/>
    <w:rsid w:val="00C25109"/>
    <w:rsid w:val="00C314AB"/>
    <w:rsid w:val="00C32C19"/>
    <w:rsid w:val="00C35EAC"/>
    <w:rsid w:val="00C36363"/>
    <w:rsid w:val="00C375B4"/>
    <w:rsid w:val="00C4134B"/>
    <w:rsid w:val="00C41838"/>
    <w:rsid w:val="00C43793"/>
    <w:rsid w:val="00C444BD"/>
    <w:rsid w:val="00C449CE"/>
    <w:rsid w:val="00C44FA1"/>
    <w:rsid w:val="00C45D50"/>
    <w:rsid w:val="00C46A27"/>
    <w:rsid w:val="00C46C80"/>
    <w:rsid w:val="00C47432"/>
    <w:rsid w:val="00C5347A"/>
    <w:rsid w:val="00C5464A"/>
    <w:rsid w:val="00C54810"/>
    <w:rsid w:val="00C55469"/>
    <w:rsid w:val="00C558B3"/>
    <w:rsid w:val="00C56D84"/>
    <w:rsid w:val="00C60057"/>
    <w:rsid w:val="00C633B9"/>
    <w:rsid w:val="00C64087"/>
    <w:rsid w:val="00C6467F"/>
    <w:rsid w:val="00C6486D"/>
    <w:rsid w:val="00C65248"/>
    <w:rsid w:val="00C652C6"/>
    <w:rsid w:val="00C66119"/>
    <w:rsid w:val="00C66FB7"/>
    <w:rsid w:val="00C679F9"/>
    <w:rsid w:val="00C7308A"/>
    <w:rsid w:val="00C7657F"/>
    <w:rsid w:val="00C76B30"/>
    <w:rsid w:val="00C82C60"/>
    <w:rsid w:val="00C83D45"/>
    <w:rsid w:val="00C860A7"/>
    <w:rsid w:val="00C86E46"/>
    <w:rsid w:val="00C909E4"/>
    <w:rsid w:val="00C91744"/>
    <w:rsid w:val="00C93B3D"/>
    <w:rsid w:val="00C9404D"/>
    <w:rsid w:val="00C96439"/>
    <w:rsid w:val="00CA0C14"/>
    <w:rsid w:val="00CA12FD"/>
    <w:rsid w:val="00CA2E06"/>
    <w:rsid w:val="00CA3136"/>
    <w:rsid w:val="00CA327F"/>
    <w:rsid w:val="00CA3CCD"/>
    <w:rsid w:val="00CA4BEF"/>
    <w:rsid w:val="00CA652F"/>
    <w:rsid w:val="00CB03E2"/>
    <w:rsid w:val="00CB051A"/>
    <w:rsid w:val="00CB0627"/>
    <w:rsid w:val="00CB15B4"/>
    <w:rsid w:val="00CB4EBF"/>
    <w:rsid w:val="00CB7819"/>
    <w:rsid w:val="00CC045A"/>
    <w:rsid w:val="00CC17C0"/>
    <w:rsid w:val="00CC2F2C"/>
    <w:rsid w:val="00CC2FD1"/>
    <w:rsid w:val="00CC5E96"/>
    <w:rsid w:val="00CC6130"/>
    <w:rsid w:val="00CC6299"/>
    <w:rsid w:val="00CC63AD"/>
    <w:rsid w:val="00CC707B"/>
    <w:rsid w:val="00CD000F"/>
    <w:rsid w:val="00CD124A"/>
    <w:rsid w:val="00CD22F8"/>
    <w:rsid w:val="00CD5DFB"/>
    <w:rsid w:val="00CE4EFD"/>
    <w:rsid w:val="00CE5454"/>
    <w:rsid w:val="00CE5622"/>
    <w:rsid w:val="00CE6552"/>
    <w:rsid w:val="00CE73CA"/>
    <w:rsid w:val="00CF3007"/>
    <w:rsid w:val="00CF5DF5"/>
    <w:rsid w:val="00CF642C"/>
    <w:rsid w:val="00CF796F"/>
    <w:rsid w:val="00D02842"/>
    <w:rsid w:val="00D03C53"/>
    <w:rsid w:val="00D057E5"/>
    <w:rsid w:val="00D07269"/>
    <w:rsid w:val="00D126DE"/>
    <w:rsid w:val="00D14273"/>
    <w:rsid w:val="00D14994"/>
    <w:rsid w:val="00D17182"/>
    <w:rsid w:val="00D17C5C"/>
    <w:rsid w:val="00D2374A"/>
    <w:rsid w:val="00D250D7"/>
    <w:rsid w:val="00D251BE"/>
    <w:rsid w:val="00D255A0"/>
    <w:rsid w:val="00D25C79"/>
    <w:rsid w:val="00D25F1F"/>
    <w:rsid w:val="00D26B21"/>
    <w:rsid w:val="00D26BE1"/>
    <w:rsid w:val="00D30C1C"/>
    <w:rsid w:val="00D310C9"/>
    <w:rsid w:val="00D31CB6"/>
    <w:rsid w:val="00D31DCC"/>
    <w:rsid w:val="00D32184"/>
    <w:rsid w:val="00D33527"/>
    <w:rsid w:val="00D35865"/>
    <w:rsid w:val="00D40E79"/>
    <w:rsid w:val="00D4203A"/>
    <w:rsid w:val="00D44239"/>
    <w:rsid w:val="00D4460F"/>
    <w:rsid w:val="00D446DC"/>
    <w:rsid w:val="00D44826"/>
    <w:rsid w:val="00D45827"/>
    <w:rsid w:val="00D46E7C"/>
    <w:rsid w:val="00D478ED"/>
    <w:rsid w:val="00D50011"/>
    <w:rsid w:val="00D51435"/>
    <w:rsid w:val="00D518D0"/>
    <w:rsid w:val="00D52893"/>
    <w:rsid w:val="00D53151"/>
    <w:rsid w:val="00D539C6"/>
    <w:rsid w:val="00D60302"/>
    <w:rsid w:val="00D60C61"/>
    <w:rsid w:val="00D622CE"/>
    <w:rsid w:val="00D63124"/>
    <w:rsid w:val="00D63DB5"/>
    <w:rsid w:val="00D64BB2"/>
    <w:rsid w:val="00D673A4"/>
    <w:rsid w:val="00D71BB4"/>
    <w:rsid w:val="00D725A7"/>
    <w:rsid w:val="00D73906"/>
    <w:rsid w:val="00D76337"/>
    <w:rsid w:val="00D8032D"/>
    <w:rsid w:val="00D80B25"/>
    <w:rsid w:val="00D8318A"/>
    <w:rsid w:val="00D837EF"/>
    <w:rsid w:val="00D838CA"/>
    <w:rsid w:val="00D84F4C"/>
    <w:rsid w:val="00D855C5"/>
    <w:rsid w:val="00D8575C"/>
    <w:rsid w:val="00D85DAF"/>
    <w:rsid w:val="00D86516"/>
    <w:rsid w:val="00D876FE"/>
    <w:rsid w:val="00D87EBF"/>
    <w:rsid w:val="00D906AF"/>
    <w:rsid w:val="00D91550"/>
    <w:rsid w:val="00D92391"/>
    <w:rsid w:val="00D92860"/>
    <w:rsid w:val="00D93CEB"/>
    <w:rsid w:val="00D945B7"/>
    <w:rsid w:val="00D94C06"/>
    <w:rsid w:val="00D96361"/>
    <w:rsid w:val="00D967EB"/>
    <w:rsid w:val="00DA06BD"/>
    <w:rsid w:val="00DA129D"/>
    <w:rsid w:val="00DA326B"/>
    <w:rsid w:val="00DA5A7C"/>
    <w:rsid w:val="00DA621F"/>
    <w:rsid w:val="00DA6CD7"/>
    <w:rsid w:val="00DB09E6"/>
    <w:rsid w:val="00DB1918"/>
    <w:rsid w:val="00DB3F21"/>
    <w:rsid w:val="00DB4F2B"/>
    <w:rsid w:val="00DB52E3"/>
    <w:rsid w:val="00DB6A01"/>
    <w:rsid w:val="00DB7A19"/>
    <w:rsid w:val="00DC02FF"/>
    <w:rsid w:val="00DC0E3A"/>
    <w:rsid w:val="00DC1D5B"/>
    <w:rsid w:val="00DC4CA4"/>
    <w:rsid w:val="00DC6D5D"/>
    <w:rsid w:val="00DC729B"/>
    <w:rsid w:val="00DC7DBE"/>
    <w:rsid w:val="00DD149E"/>
    <w:rsid w:val="00DD23B0"/>
    <w:rsid w:val="00DD3B2B"/>
    <w:rsid w:val="00DD4D96"/>
    <w:rsid w:val="00DE0031"/>
    <w:rsid w:val="00DE135F"/>
    <w:rsid w:val="00DE19FD"/>
    <w:rsid w:val="00DE2A0F"/>
    <w:rsid w:val="00DE3567"/>
    <w:rsid w:val="00DE482A"/>
    <w:rsid w:val="00DE51B6"/>
    <w:rsid w:val="00DE5DEF"/>
    <w:rsid w:val="00DE6289"/>
    <w:rsid w:val="00DF01CB"/>
    <w:rsid w:val="00DF0434"/>
    <w:rsid w:val="00DF05D6"/>
    <w:rsid w:val="00DF246C"/>
    <w:rsid w:val="00DF3BB8"/>
    <w:rsid w:val="00DF47BF"/>
    <w:rsid w:val="00DF5D2B"/>
    <w:rsid w:val="00DF6952"/>
    <w:rsid w:val="00E002AE"/>
    <w:rsid w:val="00E008B4"/>
    <w:rsid w:val="00E00A43"/>
    <w:rsid w:val="00E0110B"/>
    <w:rsid w:val="00E025AD"/>
    <w:rsid w:val="00E10B8B"/>
    <w:rsid w:val="00E1219A"/>
    <w:rsid w:val="00E14768"/>
    <w:rsid w:val="00E27706"/>
    <w:rsid w:val="00E333F4"/>
    <w:rsid w:val="00E34F5F"/>
    <w:rsid w:val="00E3561E"/>
    <w:rsid w:val="00E360DC"/>
    <w:rsid w:val="00E36F74"/>
    <w:rsid w:val="00E37881"/>
    <w:rsid w:val="00E378BA"/>
    <w:rsid w:val="00E40028"/>
    <w:rsid w:val="00E4065D"/>
    <w:rsid w:val="00E407F7"/>
    <w:rsid w:val="00E40B79"/>
    <w:rsid w:val="00E40F0B"/>
    <w:rsid w:val="00E42F6D"/>
    <w:rsid w:val="00E450A6"/>
    <w:rsid w:val="00E4543C"/>
    <w:rsid w:val="00E50FC0"/>
    <w:rsid w:val="00E512A9"/>
    <w:rsid w:val="00E5229D"/>
    <w:rsid w:val="00E52973"/>
    <w:rsid w:val="00E556F0"/>
    <w:rsid w:val="00E561B4"/>
    <w:rsid w:val="00E56793"/>
    <w:rsid w:val="00E57B68"/>
    <w:rsid w:val="00E57E9D"/>
    <w:rsid w:val="00E60153"/>
    <w:rsid w:val="00E60923"/>
    <w:rsid w:val="00E60DDD"/>
    <w:rsid w:val="00E61EEB"/>
    <w:rsid w:val="00E65514"/>
    <w:rsid w:val="00E6630B"/>
    <w:rsid w:val="00E6666C"/>
    <w:rsid w:val="00E670EF"/>
    <w:rsid w:val="00E72394"/>
    <w:rsid w:val="00E744C0"/>
    <w:rsid w:val="00E76185"/>
    <w:rsid w:val="00E76471"/>
    <w:rsid w:val="00E77590"/>
    <w:rsid w:val="00E8180A"/>
    <w:rsid w:val="00E831FE"/>
    <w:rsid w:val="00E84B8C"/>
    <w:rsid w:val="00E902FC"/>
    <w:rsid w:val="00E92831"/>
    <w:rsid w:val="00E949B8"/>
    <w:rsid w:val="00E95E60"/>
    <w:rsid w:val="00E9611B"/>
    <w:rsid w:val="00E97B84"/>
    <w:rsid w:val="00E97D54"/>
    <w:rsid w:val="00EA1557"/>
    <w:rsid w:val="00EA3D0D"/>
    <w:rsid w:val="00EA4E9E"/>
    <w:rsid w:val="00EA59AB"/>
    <w:rsid w:val="00EA710B"/>
    <w:rsid w:val="00EB07F0"/>
    <w:rsid w:val="00EB0B67"/>
    <w:rsid w:val="00EB1ABC"/>
    <w:rsid w:val="00EB205F"/>
    <w:rsid w:val="00EB2613"/>
    <w:rsid w:val="00EB5B95"/>
    <w:rsid w:val="00EB5CFB"/>
    <w:rsid w:val="00EB6CA3"/>
    <w:rsid w:val="00EC1DF6"/>
    <w:rsid w:val="00EC242F"/>
    <w:rsid w:val="00EC2968"/>
    <w:rsid w:val="00EC3040"/>
    <w:rsid w:val="00EC3BC2"/>
    <w:rsid w:val="00EC478A"/>
    <w:rsid w:val="00EC496C"/>
    <w:rsid w:val="00EC52C3"/>
    <w:rsid w:val="00EC5B9E"/>
    <w:rsid w:val="00EC761C"/>
    <w:rsid w:val="00ED0E93"/>
    <w:rsid w:val="00ED275B"/>
    <w:rsid w:val="00ED3C7C"/>
    <w:rsid w:val="00ED5245"/>
    <w:rsid w:val="00ED60DB"/>
    <w:rsid w:val="00ED7450"/>
    <w:rsid w:val="00EE041A"/>
    <w:rsid w:val="00EE21C3"/>
    <w:rsid w:val="00EE48BE"/>
    <w:rsid w:val="00EE4CB9"/>
    <w:rsid w:val="00EE72B7"/>
    <w:rsid w:val="00EE7414"/>
    <w:rsid w:val="00EF0204"/>
    <w:rsid w:val="00EF0215"/>
    <w:rsid w:val="00EF10D0"/>
    <w:rsid w:val="00EF20AA"/>
    <w:rsid w:val="00EF20C0"/>
    <w:rsid w:val="00EF621B"/>
    <w:rsid w:val="00EF62A8"/>
    <w:rsid w:val="00EF76FD"/>
    <w:rsid w:val="00F003C9"/>
    <w:rsid w:val="00F03363"/>
    <w:rsid w:val="00F0361D"/>
    <w:rsid w:val="00F040EF"/>
    <w:rsid w:val="00F04BF1"/>
    <w:rsid w:val="00F06234"/>
    <w:rsid w:val="00F102C1"/>
    <w:rsid w:val="00F1083A"/>
    <w:rsid w:val="00F10ED1"/>
    <w:rsid w:val="00F11D65"/>
    <w:rsid w:val="00F11F3E"/>
    <w:rsid w:val="00F16089"/>
    <w:rsid w:val="00F20D92"/>
    <w:rsid w:val="00F21307"/>
    <w:rsid w:val="00F23C41"/>
    <w:rsid w:val="00F259B2"/>
    <w:rsid w:val="00F27213"/>
    <w:rsid w:val="00F274E5"/>
    <w:rsid w:val="00F306F6"/>
    <w:rsid w:val="00F344AE"/>
    <w:rsid w:val="00F350E8"/>
    <w:rsid w:val="00F35996"/>
    <w:rsid w:val="00F364B8"/>
    <w:rsid w:val="00F40DF2"/>
    <w:rsid w:val="00F40E61"/>
    <w:rsid w:val="00F433E4"/>
    <w:rsid w:val="00F43BC8"/>
    <w:rsid w:val="00F43FB1"/>
    <w:rsid w:val="00F44058"/>
    <w:rsid w:val="00F44172"/>
    <w:rsid w:val="00F44516"/>
    <w:rsid w:val="00F44C09"/>
    <w:rsid w:val="00F462A8"/>
    <w:rsid w:val="00F467C2"/>
    <w:rsid w:val="00F47612"/>
    <w:rsid w:val="00F50DA3"/>
    <w:rsid w:val="00F57CA7"/>
    <w:rsid w:val="00F60875"/>
    <w:rsid w:val="00F614C9"/>
    <w:rsid w:val="00F62A61"/>
    <w:rsid w:val="00F630B6"/>
    <w:rsid w:val="00F6374D"/>
    <w:rsid w:val="00F63DC4"/>
    <w:rsid w:val="00F64420"/>
    <w:rsid w:val="00F64584"/>
    <w:rsid w:val="00F6561C"/>
    <w:rsid w:val="00F65AB8"/>
    <w:rsid w:val="00F66000"/>
    <w:rsid w:val="00F67FC8"/>
    <w:rsid w:val="00F70658"/>
    <w:rsid w:val="00F715FC"/>
    <w:rsid w:val="00F72714"/>
    <w:rsid w:val="00F82E10"/>
    <w:rsid w:val="00F83D37"/>
    <w:rsid w:val="00F8418F"/>
    <w:rsid w:val="00F845CA"/>
    <w:rsid w:val="00F84BB4"/>
    <w:rsid w:val="00F874AF"/>
    <w:rsid w:val="00F87952"/>
    <w:rsid w:val="00F90786"/>
    <w:rsid w:val="00F90F26"/>
    <w:rsid w:val="00F93AFA"/>
    <w:rsid w:val="00F952DF"/>
    <w:rsid w:val="00F9652A"/>
    <w:rsid w:val="00F96D3D"/>
    <w:rsid w:val="00F970DD"/>
    <w:rsid w:val="00FA073B"/>
    <w:rsid w:val="00FA130B"/>
    <w:rsid w:val="00FA2939"/>
    <w:rsid w:val="00FA42D4"/>
    <w:rsid w:val="00FA4E91"/>
    <w:rsid w:val="00FA536A"/>
    <w:rsid w:val="00FA5EBC"/>
    <w:rsid w:val="00FA7B3F"/>
    <w:rsid w:val="00FB0737"/>
    <w:rsid w:val="00FB152E"/>
    <w:rsid w:val="00FB245F"/>
    <w:rsid w:val="00FB2B21"/>
    <w:rsid w:val="00FB40DA"/>
    <w:rsid w:val="00FB4950"/>
    <w:rsid w:val="00FB4D42"/>
    <w:rsid w:val="00FB5402"/>
    <w:rsid w:val="00FB6F72"/>
    <w:rsid w:val="00FB75FC"/>
    <w:rsid w:val="00FC01E1"/>
    <w:rsid w:val="00FC1731"/>
    <w:rsid w:val="00FC4B06"/>
    <w:rsid w:val="00FC4C9B"/>
    <w:rsid w:val="00FC61E9"/>
    <w:rsid w:val="00FD0109"/>
    <w:rsid w:val="00FD093A"/>
    <w:rsid w:val="00FD46E1"/>
    <w:rsid w:val="00FD5AD3"/>
    <w:rsid w:val="00FD63EF"/>
    <w:rsid w:val="00FE1DB1"/>
    <w:rsid w:val="00FE3C5E"/>
    <w:rsid w:val="00FE5BC6"/>
    <w:rsid w:val="00FE690C"/>
    <w:rsid w:val="00FF10C0"/>
    <w:rsid w:val="00FF1572"/>
    <w:rsid w:val="00FF44E1"/>
    <w:rsid w:val="00FF485E"/>
    <w:rsid w:val="00FF4B40"/>
    <w:rsid w:val="00FF63F9"/>
    <w:rsid w:val="00FF6E32"/>
    <w:rsid w:val="00FF706C"/>
    <w:rsid w:val="01D82170"/>
    <w:rsid w:val="02440CF8"/>
    <w:rsid w:val="02CB4B10"/>
    <w:rsid w:val="03070272"/>
    <w:rsid w:val="035000AB"/>
    <w:rsid w:val="03944910"/>
    <w:rsid w:val="045754C5"/>
    <w:rsid w:val="047B0B77"/>
    <w:rsid w:val="04917668"/>
    <w:rsid w:val="064F4E5C"/>
    <w:rsid w:val="077C7656"/>
    <w:rsid w:val="07C33BD9"/>
    <w:rsid w:val="07DA1BEA"/>
    <w:rsid w:val="08AF7456"/>
    <w:rsid w:val="0A572123"/>
    <w:rsid w:val="0BA420AD"/>
    <w:rsid w:val="0BC52A18"/>
    <w:rsid w:val="0C973FC9"/>
    <w:rsid w:val="0CED5A01"/>
    <w:rsid w:val="0DDC7538"/>
    <w:rsid w:val="0E5E37AF"/>
    <w:rsid w:val="0ECEC94A"/>
    <w:rsid w:val="0F298697"/>
    <w:rsid w:val="0F3DAA0C"/>
    <w:rsid w:val="0F4C5F6E"/>
    <w:rsid w:val="0F56179E"/>
    <w:rsid w:val="1010398F"/>
    <w:rsid w:val="107C0AD5"/>
    <w:rsid w:val="10A21B2A"/>
    <w:rsid w:val="11836BA3"/>
    <w:rsid w:val="11BA5DFA"/>
    <w:rsid w:val="12B4349E"/>
    <w:rsid w:val="1310212A"/>
    <w:rsid w:val="131E5E73"/>
    <w:rsid w:val="133451E8"/>
    <w:rsid w:val="139721A6"/>
    <w:rsid w:val="14CA4277"/>
    <w:rsid w:val="1594477F"/>
    <w:rsid w:val="171C3BF1"/>
    <w:rsid w:val="179F0438"/>
    <w:rsid w:val="18291D2B"/>
    <w:rsid w:val="18B62C9C"/>
    <w:rsid w:val="198B3473"/>
    <w:rsid w:val="1A270257"/>
    <w:rsid w:val="1A5B1180"/>
    <w:rsid w:val="1C080D7D"/>
    <w:rsid w:val="1D1E572F"/>
    <w:rsid w:val="1D6D7E25"/>
    <w:rsid w:val="1D7E7C3A"/>
    <w:rsid w:val="1E197FC8"/>
    <w:rsid w:val="1EDFFC72"/>
    <w:rsid w:val="1EF75B92"/>
    <w:rsid w:val="1EFFB6F5"/>
    <w:rsid w:val="1F7B6D27"/>
    <w:rsid w:val="1FAF7664"/>
    <w:rsid w:val="1FE5C455"/>
    <w:rsid w:val="1FF9E942"/>
    <w:rsid w:val="1FFEECE6"/>
    <w:rsid w:val="218343DC"/>
    <w:rsid w:val="219F0247"/>
    <w:rsid w:val="225412BA"/>
    <w:rsid w:val="24665111"/>
    <w:rsid w:val="247C4300"/>
    <w:rsid w:val="248D1640"/>
    <w:rsid w:val="24F42ED8"/>
    <w:rsid w:val="26301846"/>
    <w:rsid w:val="2689737E"/>
    <w:rsid w:val="26AA5AE8"/>
    <w:rsid w:val="2758692E"/>
    <w:rsid w:val="29784296"/>
    <w:rsid w:val="2A9477E6"/>
    <w:rsid w:val="2BFCAF8E"/>
    <w:rsid w:val="2C9E53FF"/>
    <w:rsid w:val="2EE10029"/>
    <w:rsid w:val="2FBE59FD"/>
    <w:rsid w:val="2FF65221"/>
    <w:rsid w:val="30925C8D"/>
    <w:rsid w:val="30DC0DDE"/>
    <w:rsid w:val="30FE08E8"/>
    <w:rsid w:val="32B10B90"/>
    <w:rsid w:val="33375D76"/>
    <w:rsid w:val="33938ABD"/>
    <w:rsid w:val="33EF664F"/>
    <w:rsid w:val="34DF2069"/>
    <w:rsid w:val="34FEBE41"/>
    <w:rsid w:val="353978DB"/>
    <w:rsid w:val="355D18A7"/>
    <w:rsid w:val="35C81290"/>
    <w:rsid w:val="35CE369D"/>
    <w:rsid w:val="35D3095F"/>
    <w:rsid w:val="362003EC"/>
    <w:rsid w:val="36BFE039"/>
    <w:rsid w:val="36DC7210"/>
    <w:rsid w:val="36F73B59"/>
    <w:rsid w:val="37B7401D"/>
    <w:rsid w:val="37BCF26E"/>
    <w:rsid w:val="38DC495D"/>
    <w:rsid w:val="3A0379ED"/>
    <w:rsid w:val="3A0964D4"/>
    <w:rsid w:val="3B556027"/>
    <w:rsid w:val="3BEF7CAB"/>
    <w:rsid w:val="3CBE720A"/>
    <w:rsid w:val="3CBFB2F9"/>
    <w:rsid w:val="3D3FE918"/>
    <w:rsid w:val="3D5B3209"/>
    <w:rsid w:val="3DD726D8"/>
    <w:rsid w:val="3DDEABD7"/>
    <w:rsid w:val="3E3CDFEB"/>
    <w:rsid w:val="3E67984E"/>
    <w:rsid w:val="3E863668"/>
    <w:rsid w:val="3EAE9955"/>
    <w:rsid w:val="3ED91E31"/>
    <w:rsid w:val="3EF416B6"/>
    <w:rsid w:val="3EF7242E"/>
    <w:rsid w:val="3EF7E380"/>
    <w:rsid w:val="3EFF4374"/>
    <w:rsid w:val="3F7488C5"/>
    <w:rsid w:val="3F7F4B14"/>
    <w:rsid w:val="3FAF77E6"/>
    <w:rsid w:val="3FB6F8A1"/>
    <w:rsid w:val="3FCD73FA"/>
    <w:rsid w:val="3FCE05AA"/>
    <w:rsid w:val="3FD35782"/>
    <w:rsid w:val="3FDE49EF"/>
    <w:rsid w:val="3FE227A3"/>
    <w:rsid w:val="3FE8CE70"/>
    <w:rsid w:val="3FEF8DFD"/>
    <w:rsid w:val="3FEFE210"/>
    <w:rsid w:val="3FFCEEE2"/>
    <w:rsid w:val="3FFF0695"/>
    <w:rsid w:val="3FFF6744"/>
    <w:rsid w:val="3FFFC0E8"/>
    <w:rsid w:val="3FFFE50A"/>
    <w:rsid w:val="406564C0"/>
    <w:rsid w:val="411C75E7"/>
    <w:rsid w:val="41A72C72"/>
    <w:rsid w:val="422544BE"/>
    <w:rsid w:val="42876CE2"/>
    <w:rsid w:val="43E544D7"/>
    <w:rsid w:val="447C3FF4"/>
    <w:rsid w:val="452B4533"/>
    <w:rsid w:val="46BD840F"/>
    <w:rsid w:val="47423CD8"/>
    <w:rsid w:val="48CA5936"/>
    <w:rsid w:val="48DFA64B"/>
    <w:rsid w:val="48FFA50F"/>
    <w:rsid w:val="49DF20E3"/>
    <w:rsid w:val="4A69564B"/>
    <w:rsid w:val="4B7F7209"/>
    <w:rsid w:val="4BF3AB85"/>
    <w:rsid w:val="4BFCC766"/>
    <w:rsid w:val="4C6016B2"/>
    <w:rsid w:val="4C9F6BF2"/>
    <w:rsid w:val="4D1D38B5"/>
    <w:rsid w:val="4E5B679B"/>
    <w:rsid w:val="4E76E674"/>
    <w:rsid w:val="4EFFC253"/>
    <w:rsid w:val="4F0B0D60"/>
    <w:rsid w:val="4FAFD12E"/>
    <w:rsid w:val="4FEB1E3D"/>
    <w:rsid w:val="4FFFA5B5"/>
    <w:rsid w:val="50865A75"/>
    <w:rsid w:val="5165318F"/>
    <w:rsid w:val="519A0DB9"/>
    <w:rsid w:val="52800AA7"/>
    <w:rsid w:val="52873150"/>
    <w:rsid w:val="53033414"/>
    <w:rsid w:val="539130E0"/>
    <w:rsid w:val="539B083F"/>
    <w:rsid w:val="55502682"/>
    <w:rsid w:val="557D3E9F"/>
    <w:rsid w:val="55BC3946"/>
    <w:rsid w:val="55EF7F06"/>
    <w:rsid w:val="55FA067C"/>
    <w:rsid w:val="567DA3FA"/>
    <w:rsid w:val="569B5E81"/>
    <w:rsid w:val="56DF1355"/>
    <w:rsid w:val="56ED6BB4"/>
    <w:rsid w:val="56F65299"/>
    <w:rsid w:val="57BB929B"/>
    <w:rsid w:val="57E4F813"/>
    <w:rsid w:val="57EE8EF1"/>
    <w:rsid w:val="57EF8E46"/>
    <w:rsid w:val="57FB1691"/>
    <w:rsid w:val="57FB2D38"/>
    <w:rsid w:val="57FFA69E"/>
    <w:rsid w:val="581E27FC"/>
    <w:rsid w:val="5A00764E"/>
    <w:rsid w:val="5AC05EF7"/>
    <w:rsid w:val="5ACF4C5E"/>
    <w:rsid w:val="5AE282F2"/>
    <w:rsid w:val="5AFDFB62"/>
    <w:rsid w:val="5B0F4A30"/>
    <w:rsid w:val="5B4C5EBF"/>
    <w:rsid w:val="5BBC1114"/>
    <w:rsid w:val="5BBE46C3"/>
    <w:rsid w:val="5BBFA468"/>
    <w:rsid w:val="5BED63A3"/>
    <w:rsid w:val="5BED99D7"/>
    <w:rsid w:val="5BF6ABAD"/>
    <w:rsid w:val="5BFD11B0"/>
    <w:rsid w:val="5C563E41"/>
    <w:rsid w:val="5C584AE4"/>
    <w:rsid w:val="5C834E37"/>
    <w:rsid w:val="5C8A31FF"/>
    <w:rsid w:val="5CC404E8"/>
    <w:rsid w:val="5D7F0FEC"/>
    <w:rsid w:val="5DBD1A6D"/>
    <w:rsid w:val="5E12325B"/>
    <w:rsid w:val="5E7E6D93"/>
    <w:rsid w:val="5ED54C05"/>
    <w:rsid w:val="5EFC8DA7"/>
    <w:rsid w:val="5F2DDAFA"/>
    <w:rsid w:val="5F7BA906"/>
    <w:rsid w:val="5F7DB4BC"/>
    <w:rsid w:val="5FAD4341"/>
    <w:rsid w:val="5FE1BBCA"/>
    <w:rsid w:val="5FED9D95"/>
    <w:rsid w:val="5FEF17CE"/>
    <w:rsid w:val="5FEFE661"/>
    <w:rsid w:val="5FFFC071"/>
    <w:rsid w:val="5FFFD858"/>
    <w:rsid w:val="60455DBA"/>
    <w:rsid w:val="60B92088"/>
    <w:rsid w:val="617F354E"/>
    <w:rsid w:val="61D750A3"/>
    <w:rsid w:val="621A7D1A"/>
    <w:rsid w:val="626325F4"/>
    <w:rsid w:val="633C6FA0"/>
    <w:rsid w:val="636D1B41"/>
    <w:rsid w:val="638C664D"/>
    <w:rsid w:val="63CA0AC2"/>
    <w:rsid w:val="642503DD"/>
    <w:rsid w:val="646703C3"/>
    <w:rsid w:val="65A1263D"/>
    <w:rsid w:val="65FF2A06"/>
    <w:rsid w:val="66D90BC9"/>
    <w:rsid w:val="67D55371"/>
    <w:rsid w:val="67E2A8CC"/>
    <w:rsid w:val="67FEA0D8"/>
    <w:rsid w:val="697445FE"/>
    <w:rsid w:val="69747710"/>
    <w:rsid w:val="6A8676FB"/>
    <w:rsid w:val="6ACE47C7"/>
    <w:rsid w:val="6AEDBFA1"/>
    <w:rsid w:val="6AEF76F3"/>
    <w:rsid w:val="6AF313F0"/>
    <w:rsid w:val="6AF94D0E"/>
    <w:rsid w:val="6AFE3056"/>
    <w:rsid w:val="6AFE81EE"/>
    <w:rsid w:val="6BAF2304"/>
    <w:rsid w:val="6BFF38C1"/>
    <w:rsid w:val="6BFF3940"/>
    <w:rsid w:val="6C2E5548"/>
    <w:rsid w:val="6CF3C69F"/>
    <w:rsid w:val="6D7A72A9"/>
    <w:rsid w:val="6D906BF5"/>
    <w:rsid w:val="6DA57F04"/>
    <w:rsid w:val="6DE1253A"/>
    <w:rsid w:val="6E0A68DA"/>
    <w:rsid w:val="6E8B5EC9"/>
    <w:rsid w:val="6EA17610"/>
    <w:rsid w:val="6F214275"/>
    <w:rsid w:val="6F3ED726"/>
    <w:rsid w:val="6F7342C2"/>
    <w:rsid w:val="6F8F6289"/>
    <w:rsid w:val="6F954797"/>
    <w:rsid w:val="6FBE2D56"/>
    <w:rsid w:val="6FBFF772"/>
    <w:rsid w:val="6FCB253A"/>
    <w:rsid w:val="6FD44644"/>
    <w:rsid w:val="6FD710D1"/>
    <w:rsid w:val="6FDFA7AF"/>
    <w:rsid w:val="6FDFD918"/>
    <w:rsid w:val="6FE53A88"/>
    <w:rsid w:val="6FFA13ED"/>
    <w:rsid w:val="6FFB7D0D"/>
    <w:rsid w:val="6FFD03C0"/>
    <w:rsid w:val="6FFE29E1"/>
    <w:rsid w:val="6FFF2476"/>
    <w:rsid w:val="6FFF9DFF"/>
    <w:rsid w:val="6FFFEDDB"/>
    <w:rsid w:val="7025642C"/>
    <w:rsid w:val="71240992"/>
    <w:rsid w:val="7187708A"/>
    <w:rsid w:val="72357F83"/>
    <w:rsid w:val="727FF144"/>
    <w:rsid w:val="733E4641"/>
    <w:rsid w:val="738965A7"/>
    <w:rsid w:val="738B5CF2"/>
    <w:rsid w:val="73BEC5B9"/>
    <w:rsid w:val="73F694BE"/>
    <w:rsid w:val="73FED45E"/>
    <w:rsid w:val="73FF920D"/>
    <w:rsid w:val="743F4B52"/>
    <w:rsid w:val="74652E24"/>
    <w:rsid w:val="74DE4FF8"/>
    <w:rsid w:val="757F0DF0"/>
    <w:rsid w:val="75A976C9"/>
    <w:rsid w:val="75DF2096"/>
    <w:rsid w:val="75EF23B9"/>
    <w:rsid w:val="75F8EF89"/>
    <w:rsid w:val="75FD0EFD"/>
    <w:rsid w:val="75FE6CFB"/>
    <w:rsid w:val="7661C6CF"/>
    <w:rsid w:val="767EF943"/>
    <w:rsid w:val="76830D11"/>
    <w:rsid w:val="76872831"/>
    <w:rsid w:val="76D161A2"/>
    <w:rsid w:val="76DB1C3E"/>
    <w:rsid w:val="76E94F2B"/>
    <w:rsid w:val="76F79A51"/>
    <w:rsid w:val="76F7E909"/>
    <w:rsid w:val="77224FB7"/>
    <w:rsid w:val="775EB600"/>
    <w:rsid w:val="777E8561"/>
    <w:rsid w:val="779730C6"/>
    <w:rsid w:val="77AD4CB8"/>
    <w:rsid w:val="77B9741C"/>
    <w:rsid w:val="77DF304E"/>
    <w:rsid w:val="77F16B3B"/>
    <w:rsid w:val="77FB87F1"/>
    <w:rsid w:val="77FB9D27"/>
    <w:rsid w:val="77FD423A"/>
    <w:rsid w:val="77FF6497"/>
    <w:rsid w:val="78520C1D"/>
    <w:rsid w:val="78665F46"/>
    <w:rsid w:val="78CE764C"/>
    <w:rsid w:val="78D02B69"/>
    <w:rsid w:val="78DEFF6C"/>
    <w:rsid w:val="794314FA"/>
    <w:rsid w:val="797FEDFF"/>
    <w:rsid w:val="79992297"/>
    <w:rsid w:val="79DDC964"/>
    <w:rsid w:val="7A700518"/>
    <w:rsid w:val="7A771F87"/>
    <w:rsid w:val="7B3242E2"/>
    <w:rsid w:val="7B339668"/>
    <w:rsid w:val="7B3FFA2A"/>
    <w:rsid w:val="7B6D93C2"/>
    <w:rsid w:val="7B7CE97A"/>
    <w:rsid w:val="7B7F53CB"/>
    <w:rsid w:val="7BD743C9"/>
    <w:rsid w:val="7BD7F758"/>
    <w:rsid w:val="7BF2BF6D"/>
    <w:rsid w:val="7BF34509"/>
    <w:rsid w:val="7BF75185"/>
    <w:rsid w:val="7BF9A41C"/>
    <w:rsid w:val="7BFCD4D0"/>
    <w:rsid w:val="7BFED124"/>
    <w:rsid w:val="7BFFD0FE"/>
    <w:rsid w:val="7C5336C0"/>
    <w:rsid w:val="7CAF6C50"/>
    <w:rsid w:val="7CAFC72E"/>
    <w:rsid w:val="7CD43E9B"/>
    <w:rsid w:val="7CEC5C75"/>
    <w:rsid w:val="7CF36D7A"/>
    <w:rsid w:val="7CF4B524"/>
    <w:rsid w:val="7CFF1EED"/>
    <w:rsid w:val="7CFF56BB"/>
    <w:rsid w:val="7D3F555A"/>
    <w:rsid w:val="7D7E02A2"/>
    <w:rsid w:val="7D9F512D"/>
    <w:rsid w:val="7DB37C38"/>
    <w:rsid w:val="7DBDEDB2"/>
    <w:rsid w:val="7DD68B94"/>
    <w:rsid w:val="7DDAC628"/>
    <w:rsid w:val="7DE1A61C"/>
    <w:rsid w:val="7DF494DE"/>
    <w:rsid w:val="7DF7636D"/>
    <w:rsid w:val="7DFE37BD"/>
    <w:rsid w:val="7DFF9C87"/>
    <w:rsid w:val="7E4B683A"/>
    <w:rsid w:val="7E5F150F"/>
    <w:rsid w:val="7E8DAC04"/>
    <w:rsid w:val="7EAFF43A"/>
    <w:rsid w:val="7EBB6B80"/>
    <w:rsid w:val="7EBBAAD8"/>
    <w:rsid w:val="7EBBDA42"/>
    <w:rsid w:val="7EDCF152"/>
    <w:rsid w:val="7EEBDE2F"/>
    <w:rsid w:val="7EED92AC"/>
    <w:rsid w:val="7EEF88A9"/>
    <w:rsid w:val="7EF7E3D1"/>
    <w:rsid w:val="7EFD0307"/>
    <w:rsid w:val="7EFDC9CD"/>
    <w:rsid w:val="7EFFB6EA"/>
    <w:rsid w:val="7F250E3A"/>
    <w:rsid w:val="7F379FC0"/>
    <w:rsid w:val="7F3B5C46"/>
    <w:rsid w:val="7F575CAD"/>
    <w:rsid w:val="7F5E294D"/>
    <w:rsid w:val="7F6D73B1"/>
    <w:rsid w:val="7F7BCCF6"/>
    <w:rsid w:val="7F7FCC48"/>
    <w:rsid w:val="7F8D1656"/>
    <w:rsid w:val="7F8F2C6B"/>
    <w:rsid w:val="7F9D91C3"/>
    <w:rsid w:val="7FADB535"/>
    <w:rsid w:val="7FADBBBD"/>
    <w:rsid w:val="7FAF402B"/>
    <w:rsid w:val="7FB172C5"/>
    <w:rsid w:val="7FB3E0DA"/>
    <w:rsid w:val="7FB614E2"/>
    <w:rsid w:val="7FB91665"/>
    <w:rsid w:val="7FBB165D"/>
    <w:rsid w:val="7FBD63F1"/>
    <w:rsid w:val="7FBF78F2"/>
    <w:rsid w:val="7FBF8F72"/>
    <w:rsid w:val="7FCFE518"/>
    <w:rsid w:val="7FDF0B86"/>
    <w:rsid w:val="7FDFD6C0"/>
    <w:rsid w:val="7FE1A6C6"/>
    <w:rsid w:val="7FECBE87"/>
    <w:rsid w:val="7FED4CE4"/>
    <w:rsid w:val="7FEED52B"/>
    <w:rsid w:val="7FF71A87"/>
    <w:rsid w:val="7FFCA431"/>
    <w:rsid w:val="7FFCCBA5"/>
    <w:rsid w:val="7FFDC5D2"/>
    <w:rsid w:val="7FFDE690"/>
    <w:rsid w:val="7FFEA7C4"/>
    <w:rsid w:val="8FBC6202"/>
    <w:rsid w:val="967F96B4"/>
    <w:rsid w:val="97BF30F6"/>
    <w:rsid w:val="97FD81F7"/>
    <w:rsid w:val="9BBE4298"/>
    <w:rsid w:val="9C7E564D"/>
    <w:rsid w:val="9DEF0D46"/>
    <w:rsid w:val="9F2F29BD"/>
    <w:rsid w:val="9F79A242"/>
    <w:rsid w:val="9FAF1736"/>
    <w:rsid w:val="9FB7BC2C"/>
    <w:rsid w:val="9FBDD4AF"/>
    <w:rsid w:val="9FE7048C"/>
    <w:rsid w:val="9FFF101F"/>
    <w:rsid w:val="A2ED0765"/>
    <w:rsid w:val="A45F6641"/>
    <w:rsid w:val="A7F0ADB3"/>
    <w:rsid w:val="A9A4662D"/>
    <w:rsid w:val="AB7F4E37"/>
    <w:rsid w:val="ADB7590B"/>
    <w:rsid w:val="AF0E5AC2"/>
    <w:rsid w:val="AF5DBBEE"/>
    <w:rsid w:val="AFCFBE46"/>
    <w:rsid w:val="AFDE0D5A"/>
    <w:rsid w:val="B2FEC100"/>
    <w:rsid w:val="B3ED0FF6"/>
    <w:rsid w:val="B57F0A85"/>
    <w:rsid w:val="B5DF89D9"/>
    <w:rsid w:val="B77ED6E5"/>
    <w:rsid w:val="B77F6DAE"/>
    <w:rsid w:val="B7934541"/>
    <w:rsid w:val="B7DC2D76"/>
    <w:rsid w:val="B7DFEAA7"/>
    <w:rsid w:val="B7ED3AF8"/>
    <w:rsid w:val="B7FEB1A8"/>
    <w:rsid w:val="B7FEC18C"/>
    <w:rsid w:val="BAFFA39A"/>
    <w:rsid w:val="BBC7DFBD"/>
    <w:rsid w:val="BBF96FF2"/>
    <w:rsid w:val="BBFA96F6"/>
    <w:rsid w:val="BBFF7291"/>
    <w:rsid w:val="BBFF9303"/>
    <w:rsid w:val="BD7D57D7"/>
    <w:rsid w:val="BDDFFC97"/>
    <w:rsid w:val="BDFB4CFF"/>
    <w:rsid w:val="BEFBF41F"/>
    <w:rsid w:val="BF7B0F44"/>
    <w:rsid w:val="BFA3D522"/>
    <w:rsid w:val="BFB9BDDD"/>
    <w:rsid w:val="BFD99EC5"/>
    <w:rsid w:val="BFDC5C70"/>
    <w:rsid w:val="BFEE3403"/>
    <w:rsid w:val="BFF75189"/>
    <w:rsid w:val="BFFA1914"/>
    <w:rsid w:val="BFFF864F"/>
    <w:rsid w:val="C5BF3AFF"/>
    <w:rsid w:val="C6FB8FB4"/>
    <w:rsid w:val="C7A3FB78"/>
    <w:rsid w:val="C967131F"/>
    <w:rsid w:val="C9AF7835"/>
    <w:rsid w:val="CAF7E904"/>
    <w:rsid w:val="CBFD2937"/>
    <w:rsid w:val="CBFF393E"/>
    <w:rsid w:val="CBFF5D63"/>
    <w:rsid w:val="CFFB1AD0"/>
    <w:rsid w:val="CFFE002C"/>
    <w:rsid w:val="CFFFF2F3"/>
    <w:rsid w:val="D3DE19F5"/>
    <w:rsid w:val="D575E085"/>
    <w:rsid w:val="D5DA0C1C"/>
    <w:rsid w:val="D6CFF4CC"/>
    <w:rsid w:val="D777D230"/>
    <w:rsid w:val="D7798D2D"/>
    <w:rsid w:val="D7BFE6E8"/>
    <w:rsid w:val="D7FF45C1"/>
    <w:rsid w:val="D9769448"/>
    <w:rsid w:val="DAFF49CD"/>
    <w:rsid w:val="DB6FFED6"/>
    <w:rsid w:val="DBF790B8"/>
    <w:rsid w:val="DBFB2A73"/>
    <w:rsid w:val="DC3FF171"/>
    <w:rsid w:val="DD3D9E2D"/>
    <w:rsid w:val="DD3F5135"/>
    <w:rsid w:val="DD9737C1"/>
    <w:rsid w:val="DDA722B8"/>
    <w:rsid w:val="DDD7B54F"/>
    <w:rsid w:val="DE2B32C0"/>
    <w:rsid w:val="DE37E977"/>
    <w:rsid w:val="DE3BC74D"/>
    <w:rsid w:val="DE3FA346"/>
    <w:rsid w:val="DEC3286E"/>
    <w:rsid w:val="DEC51861"/>
    <w:rsid w:val="DEF29308"/>
    <w:rsid w:val="DF27E100"/>
    <w:rsid w:val="DF57C54F"/>
    <w:rsid w:val="DF76EEA0"/>
    <w:rsid w:val="DF7B8E1B"/>
    <w:rsid w:val="DF9F9C42"/>
    <w:rsid w:val="DFB8C96D"/>
    <w:rsid w:val="DFC3D9D5"/>
    <w:rsid w:val="DFD71118"/>
    <w:rsid w:val="DFDCCE4C"/>
    <w:rsid w:val="DFDF65A2"/>
    <w:rsid w:val="DFDF7C60"/>
    <w:rsid w:val="DFEFF375"/>
    <w:rsid w:val="DFF73679"/>
    <w:rsid w:val="DFFBA009"/>
    <w:rsid w:val="DFFE4BDF"/>
    <w:rsid w:val="DFFF32C7"/>
    <w:rsid w:val="DFFFD56E"/>
    <w:rsid w:val="E0FF0868"/>
    <w:rsid w:val="E16E28B7"/>
    <w:rsid w:val="E1E2B6DE"/>
    <w:rsid w:val="E33D3B0F"/>
    <w:rsid w:val="E577A5ED"/>
    <w:rsid w:val="E6BF1CFF"/>
    <w:rsid w:val="E75BB876"/>
    <w:rsid w:val="E7C3E426"/>
    <w:rsid w:val="E7EBC0B7"/>
    <w:rsid w:val="E7FA578B"/>
    <w:rsid w:val="E7FCD927"/>
    <w:rsid w:val="E9296AF4"/>
    <w:rsid w:val="E93EFD28"/>
    <w:rsid w:val="E9AFB100"/>
    <w:rsid w:val="E9FB6DBD"/>
    <w:rsid w:val="EBBDDC72"/>
    <w:rsid w:val="EBBE9560"/>
    <w:rsid w:val="EBFBBE42"/>
    <w:rsid w:val="EDBF4B5C"/>
    <w:rsid w:val="EDBFF54A"/>
    <w:rsid w:val="EDD165E0"/>
    <w:rsid w:val="EDE966BE"/>
    <w:rsid w:val="EDEF1DBA"/>
    <w:rsid w:val="EE77B695"/>
    <w:rsid w:val="EEAFC2B7"/>
    <w:rsid w:val="EEDDF029"/>
    <w:rsid w:val="EEFF649C"/>
    <w:rsid w:val="EF0A34C5"/>
    <w:rsid w:val="EF2F8266"/>
    <w:rsid w:val="EFAF9ACC"/>
    <w:rsid w:val="EFBB596B"/>
    <w:rsid w:val="EFBFD169"/>
    <w:rsid w:val="EFCF9E66"/>
    <w:rsid w:val="EFF485E7"/>
    <w:rsid w:val="EFFA2DC5"/>
    <w:rsid w:val="F18BDDCE"/>
    <w:rsid w:val="F2D1A381"/>
    <w:rsid w:val="F3AF2EC6"/>
    <w:rsid w:val="F457E9E9"/>
    <w:rsid w:val="F4FDC1BC"/>
    <w:rsid w:val="F55F52AA"/>
    <w:rsid w:val="F574911B"/>
    <w:rsid w:val="F5CE7B1F"/>
    <w:rsid w:val="F5FF0F62"/>
    <w:rsid w:val="F66D2626"/>
    <w:rsid w:val="F67D7C5E"/>
    <w:rsid w:val="F6EBBDFE"/>
    <w:rsid w:val="F6FB6B39"/>
    <w:rsid w:val="F6FE5676"/>
    <w:rsid w:val="F73F9CD4"/>
    <w:rsid w:val="F7B5D463"/>
    <w:rsid w:val="F7D7AC25"/>
    <w:rsid w:val="F7EEC70F"/>
    <w:rsid w:val="F7F306A0"/>
    <w:rsid w:val="F7F8C48A"/>
    <w:rsid w:val="F7FFA1EC"/>
    <w:rsid w:val="F7FFAFBB"/>
    <w:rsid w:val="F7FFDA8B"/>
    <w:rsid w:val="F8DBF662"/>
    <w:rsid w:val="F8F75854"/>
    <w:rsid w:val="F97C2472"/>
    <w:rsid w:val="F9F3DC14"/>
    <w:rsid w:val="F9FA4FA9"/>
    <w:rsid w:val="F9FBBB5A"/>
    <w:rsid w:val="F9FD50E9"/>
    <w:rsid w:val="F9FEA464"/>
    <w:rsid w:val="FA7E130D"/>
    <w:rsid w:val="FA9A8F42"/>
    <w:rsid w:val="FABF7DCE"/>
    <w:rsid w:val="FAD06EC4"/>
    <w:rsid w:val="FAEFE778"/>
    <w:rsid w:val="FAFB2E1D"/>
    <w:rsid w:val="FAFCC29F"/>
    <w:rsid w:val="FAFF030F"/>
    <w:rsid w:val="FAFF53EF"/>
    <w:rsid w:val="FB36BCE0"/>
    <w:rsid w:val="FB4F280F"/>
    <w:rsid w:val="FB736FD0"/>
    <w:rsid w:val="FB774DD9"/>
    <w:rsid w:val="FBB74984"/>
    <w:rsid w:val="FBBD2612"/>
    <w:rsid w:val="FBF79D9D"/>
    <w:rsid w:val="FBFCC2C3"/>
    <w:rsid w:val="FBFF0932"/>
    <w:rsid w:val="FCBBE86A"/>
    <w:rsid w:val="FCBC9A13"/>
    <w:rsid w:val="FCE92ADE"/>
    <w:rsid w:val="FCEF908F"/>
    <w:rsid w:val="FCFB7E46"/>
    <w:rsid w:val="FCFE67D8"/>
    <w:rsid w:val="FD6D3CF7"/>
    <w:rsid w:val="FD6E6AD9"/>
    <w:rsid w:val="FD7FD0A1"/>
    <w:rsid w:val="FDADAD2F"/>
    <w:rsid w:val="FDB7DD12"/>
    <w:rsid w:val="FDBF5797"/>
    <w:rsid w:val="FDBF58EC"/>
    <w:rsid w:val="FDC7CC97"/>
    <w:rsid w:val="FDDF3C50"/>
    <w:rsid w:val="FDFA718A"/>
    <w:rsid w:val="FDFF6620"/>
    <w:rsid w:val="FE4C2A7A"/>
    <w:rsid w:val="FEA34647"/>
    <w:rsid w:val="FEBF6178"/>
    <w:rsid w:val="FEC7FA0E"/>
    <w:rsid w:val="FEDF9C5F"/>
    <w:rsid w:val="FEEF8121"/>
    <w:rsid w:val="FEF6797C"/>
    <w:rsid w:val="FEFB28F4"/>
    <w:rsid w:val="FEFBF699"/>
    <w:rsid w:val="FEFE6A55"/>
    <w:rsid w:val="FF1DAB69"/>
    <w:rsid w:val="FF4F2068"/>
    <w:rsid w:val="FF5F993B"/>
    <w:rsid w:val="FF638698"/>
    <w:rsid w:val="FF7981F0"/>
    <w:rsid w:val="FF7AF623"/>
    <w:rsid w:val="FF7ECA33"/>
    <w:rsid w:val="FF7FA4E8"/>
    <w:rsid w:val="FF7FF18D"/>
    <w:rsid w:val="FF831871"/>
    <w:rsid w:val="FF9C665E"/>
    <w:rsid w:val="FFAFE400"/>
    <w:rsid w:val="FFB67A41"/>
    <w:rsid w:val="FFB7880D"/>
    <w:rsid w:val="FFBF1331"/>
    <w:rsid w:val="FFC69A6B"/>
    <w:rsid w:val="FFD645D3"/>
    <w:rsid w:val="FFDF298B"/>
    <w:rsid w:val="FFE59730"/>
    <w:rsid w:val="FFE9992A"/>
    <w:rsid w:val="FFEB378A"/>
    <w:rsid w:val="FFEDBFB5"/>
    <w:rsid w:val="FFF47608"/>
    <w:rsid w:val="FFF47B35"/>
    <w:rsid w:val="FFFC2C77"/>
    <w:rsid w:val="FFFD3AD9"/>
    <w:rsid w:val="FFFD4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qFormat="1"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36"/>
    <w:qFormat/>
    <w:uiPriority w:val="99"/>
    <w:pPr>
      <w:keepNext/>
      <w:keepLines/>
      <w:spacing w:line="576" w:lineRule="auto"/>
      <w:outlineLvl w:val="0"/>
    </w:pPr>
    <w:rPr>
      <w:b/>
      <w:kern w:val="44"/>
      <w:sz w:val="44"/>
    </w:rPr>
  </w:style>
  <w:style w:type="paragraph" w:styleId="4">
    <w:name w:val="heading 2"/>
    <w:basedOn w:val="1"/>
    <w:next w:val="1"/>
    <w:link w:val="37"/>
    <w:qFormat/>
    <w:uiPriority w:val="99"/>
    <w:pPr>
      <w:keepNext/>
      <w:keepLines/>
      <w:spacing w:line="413" w:lineRule="auto"/>
      <w:outlineLvl w:val="1"/>
    </w:pPr>
    <w:rPr>
      <w:rFonts w:ascii="Arial" w:hAnsi="Arial" w:eastAsia="黑体"/>
      <w:b/>
      <w:sz w:val="32"/>
    </w:rPr>
  </w:style>
  <w:style w:type="paragraph" w:styleId="5">
    <w:name w:val="heading 3"/>
    <w:basedOn w:val="1"/>
    <w:next w:val="1"/>
    <w:link w:val="27"/>
    <w:qFormat/>
    <w:uiPriority w:val="99"/>
    <w:pPr>
      <w:keepNext/>
      <w:keepLines/>
      <w:spacing w:line="413" w:lineRule="auto"/>
      <w:outlineLvl w:val="2"/>
    </w:pPr>
    <w:rPr>
      <w:rFonts w:ascii="Times New Roman" w:hAnsi="Times New Roman" w:eastAsia="宋体" w:cs="Times New Roman"/>
      <w:b/>
      <w:kern w:val="0"/>
      <w:sz w:val="32"/>
      <w:szCs w:val="20"/>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99"/>
    <w:pPr>
      <w:ind w:firstLine="632"/>
    </w:pPr>
    <w:rPr>
      <w:rFonts w:eastAsia="楷体_GB2312"/>
      <w:szCs w:val="30"/>
    </w:rPr>
  </w:style>
  <w:style w:type="paragraph" w:styleId="6">
    <w:name w:val="annotation text"/>
    <w:basedOn w:val="1"/>
    <w:semiHidden/>
    <w:unhideWhenUsed/>
    <w:qFormat/>
    <w:uiPriority w:val="0"/>
    <w:pPr>
      <w:jc w:val="left"/>
    </w:pPr>
  </w:style>
  <w:style w:type="paragraph" w:styleId="7">
    <w:name w:val="Body Text"/>
    <w:basedOn w:val="1"/>
    <w:link w:val="30"/>
    <w:qFormat/>
    <w:uiPriority w:val="0"/>
    <w:pPr>
      <w:spacing w:after="120"/>
    </w:pPr>
  </w:style>
  <w:style w:type="paragraph" w:styleId="8">
    <w:name w:val="Balloon Text"/>
    <w:basedOn w:val="1"/>
    <w:link w:val="28"/>
    <w:qFormat/>
    <w:uiPriority w:val="0"/>
    <w:rPr>
      <w:sz w:val="18"/>
      <w:szCs w:val="18"/>
    </w:rPr>
  </w:style>
  <w:style w:type="paragraph" w:styleId="9">
    <w:name w:val="footer"/>
    <w:basedOn w:val="1"/>
    <w:link w:val="23"/>
    <w:qFormat/>
    <w:uiPriority w:val="99"/>
    <w:pPr>
      <w:tabs>
        <w:tab w:val="center" w:pos="4153"/>
        <w:tab w:val="right" w:pos="8306"/>
      </w:tabs>
      <w:snapToGrid w:val="0"/>
      <w:jc w:val="left"/>
    </w:pPr>
    <w:rPr>
      <w:sz w:val="18"/>
      <w:szCs w:val="18"/>
    </w:rPr>
  </w:style>
  <w:style w:type="paragraph" w:styleId="10">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style>
  <w:style w:type="paragraph" w:styleId="12">
    <w:name w:val="footnote text"/>
    <w:basedOn w:val="1"/>
    <w:qFormat/>
    <w:uiPriority w:val="0"/>
    <w:pPr>
      <w:snapToGrid w:val="0"/>
      <w:jc w:val="left"/>
    </w:pPr>
    <w:rPr>
      <w:sz w:val="18"/>
    </w:rPr>
  </w:style>
  <w:style w:type="paragraph" w:styleId="13">
    <w:name w:val="toc 2"/>
    <w:basedOn w:val="1"/>
    <w:next w:val="1"/>
    <w:qFormat/>
    <w:uiPriority w:val="0"/>
    <w:pPr>
      <w:ind w:left="420" w:leftChars="200"/>
    </w:pPr>
  </w:style>
  <w:style w:type="paragraph" w:styleId="14">
    <w:name w:val="HTML Preformatted"/>
    <w:basedOn w:val="1"/>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22"/>
    <w:rPr>
      <w:rFonts w:cs="Times New Roman"/>
      <w:b/>
      <w:bCs/>
    </w:rPr>
  </w:style>
  <w:style w:type="character" w:styleId="20">
    <w:name w:val="footnote reference"/>
    <w:basedOn w:val="18"/>
    <w:qFormat/>
    <w:uiPriority w:val="0"/>
    <w:rPr>
      <w:vertAlign w:val="superscript"/>
    </w:rPr>
  </w:style>
  <w:style w:type="paragraph" w:customStyle="1" w:styleId="21">
    <w:name w:val="样式2"/>
    <w:basedOn w:val="1"/>
    <w:qFormat/>
    <w:uiPriority w:val="0"/>
    <w:pPr>
      <w:spacing w:before="240" w:after="240"/>
    </w:pPr>
    <w:rPr>
      <w:rFonts w:ascii="仿宋_GB2312" w:hAnsi="仿宋_GB2312" w:eastAsia="宋体"/>
      <w:sz w:val="24"/>
      <w:szCs w:val="30"/>
    </w:rPr>
  </w:style>
  <w:style w:type="character" w:customStyle="1" w:styleId="22">
    <w:name w:val="页眉 字符"/>
    <w:basedOn w:val="18"/>
    <w:link w:val="10"/>
    <w:qFormat/>
    <w:uiPriority w:val="0"/>
    <w:rPr>
      <w:kern w:val="2"/>
      <w:sz w:val="18"/>
      <w:szCs w:val="18"/>
    </w:rPr>
  </w:style>
  <w:style w:type="character" w:customStyle="1" w:styleId="23">
    <w:name w:val="页脚 字符"/>
    <w:basedOn w:val="18"/>
    <w:link w:val="9"/>
    <w:qFormat/>
    <w:uiPriority w:val="99"/>
    <w:rPr>
      <w:kern w:val="2"/>
      <w:sz w:val="18"/>
      <w:szCs w:val="18"/>
    </w:rPr>
  </w:style>
  <w:style w:type="paragraph" w:styleId="24">
    <w:name w:val="List Paragraph"/>
    <w:basedOn w:val="1"/>
    <w:unhideWhenUsed/>
    <w:qFormat/>
    <w:uiPriority w:val="34"/>
    <w:pPr>
      <w:ind w:firstLine="420" w:firstLineChars="200"/>
    </w:pPr>
  </w:style>
  <w:style w:type="paragraph" w:customStyle="1" w:styleId="25">
    <w:name w:val="正文首行缩进1"/>
    <w:basedOn w:val="26"/>
    <w:qFormat/>
    <w:uiPriority w:val="99"/>
    <w:pPr>
      <w:widowControl/>
      <w:adjustRightInd w:val="0"/>
      <w:snapToGrid w:val="0"/>
      <w:spacing w:after="200"/>
      <w:ind w:firstLine="420" w:firstLineChars="100"/>
      <w:jc w:val="left"/>
    </w:pPr>
    <w:rPr>
      <w:kern w:val="0"/>
      <w:sz w:val="22"/>
      <w:szCs w:val="22"/>
    </w:rPr>
  </w:style>
  <w:style w:type="paragraph" w:customStyle="1" w:styleId="26">
    <w:name w:val="正文文本1"/>
    <w:basedOn w:val="1"/>
    <w:qFormat/>
    <w:uiPriority w:val="99"/>
    <w:rPr>
      <w:rFonts w:ascii="Times New Roman" w:hAnsi="Times New Roman" w:cs="Times New Roman"/>
    </w:rPr>
  </w:style>
  <w:style w:type="character" w:customStyle="1" w:styleId="27">
    <w:name w:val="标题 3 字符"/>
    <w:basedOn w:val="18"/>
    <w:link w:val="5"/>
    <w:qFormat/>
    <w:uiPriority w:val="99"/>
    <w:rPr>
      <w:b/>
      <w:sz w:val="32"/>
    </w:rPr>
  </w:style>
  <w:style w:type="character" w:customStyle="1" w:styleId="28">
    <w:name w:val="批注框文本 字符"/>
    <w:basedOn w:val="18"/>
    <w:link w:val="8"/>
    <w:qFormat/>
    <w:uiPriority w:val="0"/>
    <w:rPr>
      <w:rFonts w:asciiTheme="minorHAnsi" w:hAnsiTheme="minorHAnsi" w:eastAsiaTheme="minorEastAsia" w:cstheme="minorBidi"/>
      <w:kern w:val="2"/>
      <w:sz w:val="18"/>
      <w:szCs w:val="18"/>
    </w:rPr>
  </w:style>
  <w:style w:type="character" w:customStyle="1" w:styleId="29">
    <w:name w:val="bjh-p"/>
    <w:basedOn w:val="18"/>
    <w:qFormat/>
    <w:uiPriority w:val="0"/>
  </w:style>
  <w:style w:type="character" w:customStyle="1" w:styleId="30">
    <w:name w:val="正文文本 字符"/>
    <w:basedOn w:val="18"/>
    <w:link w:val="7"/>
    <w:qFormat/>
    <w:uiPriority w:val="0"/>
    <w:rPr>
      <w:rFonts w:asciiTheme="minorHAnsi" w:hAnsiTheme="minorHAnsi" w:eastAsiaTheme="minorEastAsia" w:cstheme="minorBidi"/>
      <w:kern w:val="2"/>
      <w:sz w:val="21"/>
      <w:szCs w:val="24"/>
    </w:rPr>
  </w:style>
  <w:style w:type="paragraph" w:customStyle="1" w:styleId="31">
    <w:name w:val="WPSOffice手动目录 1"/>
    <w:qFormat/>
    <w:uiPriority w:val="0"/>
    <w:rPr>
      <w:rFonts w:ascii="Times New Roman" w:hAnsi="Times New Roman" w:eastAsia="宋体" w:cs="Times New Roman"/>
      <w:lang w:val="en-US" w:eastAsia="zh-CN" w:bidi="ar-SA"/>
    </w:rPr>
  </w:style>
  <w:style w:type="paragraph" w:customStyle="1" w:styleId="32">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3">
    <w:name w:val="BodyText1I"/>
    <w:basedOn w:val="1"/>
    <w:qFormat/>
    <w:uiPriority w:val="99"/>
    <w:pPr>
      <w:ind w:firstLine="420" w:firstLineChars="100"/>
      <w:textAlignment w:val="baseline"/>
    </w:pPr>
    <w:rPr>
      <w:rFonts w:ascii="Times New Roman" w:hAnsi="Times New Roman" w:eastAsia="宋体" w:cs="Times New Roman"/>
      <w:sz w:val="24"/>
      <w:szCs w:val="20"/>
    </w:rPr>
  </w:style>
  <w:style w:type="table" w:customStyle="1" w:styleId="34">
    <w:name w:val="Table Normal"/>
    <w:semiHidden/>
    <w:unhideWhenUsed/>
    <w:qFormat/>
    <w:uiPriority w:val="2"/>
    <w:pPr>
      <w:widowControl w:val="0"/>
    </w:pPr>
    <w:rPr>
      <w:sz w:val="22"/>
      <w:szCs w:val="22"/>
      <w:lang w:eastAsia="en-US"/>
    </w:rPr>
    <w:tblPr>
      <w:tblCellMar>
        <w:top w:w="0" w:type="dxa"/>
        <w:left w:w="0" w:type="dxa"/>
        <w:bottom w:w="0" w:type="dxa"/>
        <w:right w:w="0" w:type="dxa"/>
      </w:tblCellMar>
    </w:tblPr>
  </w:style>
  <w:style w:type="paragraph" w:customStyle="1" w:styleId="35">
    <w:name w:val="Table Paragraph"/>
    <w:basedOn w:val="1"/>
    <w:qFormat/>
    <w:uiPriority w:val="1"/>
    <w:pPr>
      <w:jc w:val="left"/>
    </w:pPr>
    <w:rPr>
      <w:kern w:val="0"/>
      <w:sz w:val="22"/>
      <w:szCs w:val="22"/>
      <w:lang w:eastAsia="en-US"/>
    </w:rPr>
  </w:style>
  <w:style w:type="character" w:customStyle="1" w:styleId="36">
    <w:name w:val="标题 1 字符"/>
    <w:basedOn w:val="18"/>
    <w:link w:val="3"/>
    <w:qFormat/>
    <w:uiPriority w:val="99"/>
    <w:rPr>
      <w:b/>
      <w:kern w:val="44"/>
      <w:sz w:val="44"/>
      <w:szCs w:val="24"/>
    </w:rPr>
  </w:style>
  <w:style w:type="character" w:customStyle="1" w:styleId="37">
    <w:name w:val="标题 2 字符"/>
    <w:basedOn w:val="18"/>
    <w:link w:val="4"/>
    <w:qFormat/>
    <w:uiPriority w:val="99"/>
    <w:rPr>
      <w:rFonts w:ascii="Arial" w:hAnsi="Arial" w:eastAsia="黑体"/>
      <w:b/>
      <w:kern w:val="2"/>
      <w:sz w:val="32"/>
      <w:szCs w:val="24"/>
    </w:rPr>
  </w:style>
  <w:style w:type="paragraph" w:customStyle="1" w:styleId="38">
    <w:name w:val="目录"/>
    <w:basedOn w:val="11"/>
    <w:qFormat/>
    <w:uiPriority w:val="0"/>
    <w:pPr>
      <w:tabs>
        <w:tab w:val="right" w:leader="dot" w:pos="9010"/>
      </w:tabs>
    </w:pPr>
    <w:rPr>
      <w:rFonts w:hint="eastAsia" w:ascii="仿宋" w:hAnsi="仿宋" w:eastAsia="黑体" w:cs="仿宋"/>
      <w:spacing w:val="-6"/>
      <w:kern w:val="84"/>
      <w:sz w:val="32"/>
      <w:szCs w:val="7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65</Pages>
  <Words>44320</Words>
  <Characters>45148</Characters>
  <Lines>383</Lines>
  <Paragraphs>108</Paragraphs>
  <TotalTime>3</TotalTime>
  <ScaleCrop>false</ScaleCrop>
  <LinksUpToDate>false</LinksUpToDate>
  <CharactersWithSpaces>45249</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2020-11-13T17:23:00Z</dcterms:created>
  <dc:creator>冬</dc:creator>
  <cp:lastModifiedBy>greatwall</cp:lastModifiedBy>
  <cp:lastPrinted>2022-05-05T10:33:00Z</cp:lastPrinted>
  <dcterms:modified xsi:type="dcterms:W3CDTF">2022-06-02T08:48:34Z</dcterms:modified>
  <cp:revision>1139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CD7489FBA6894769A14995E68CB19459</vt:lpwstr>
  </property>
</Properties>
</file>