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distribute"/>
        <w:textAlignment w:val="auto"/>
        <w:rPr>
          <w:rFonts w:hint="eastAsia" w:eastAsia="方正小标宋简体" w:cs="方正小标宋简体"/>
          <w:color w:val="FF0000"/>
          <w:spacing w:val="-28"/>
          <w:w w:val="8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eastAsia" w:eastAsia="方正小标宋简体"/>
          <w:spacing w:val="-28"/>
          <w:sz w:val="100"/>
          <w:szCs w:val="100"/>
          <w:lang w:eastAsia="zh-CN"/>
        </w:rPr>
      </w:pPr>
      <w:r>
        <w:rPr>
          <w:rFonts w:hint="eastAsia" w:eastAsia="方正小标宋简体" w:cs="方正小标宋简体"/>
          <w:color w:val="FF0000"/>
          <w:spacing w:val="-28"/>
          <w:w w:val="80"/>
          <w:sz w:val="100"/>
          <w:szCs w:val="100"/>
        </w:rPr>
        <w:t>河南省教育厅</w:t>
      </w:r>
      <w:r>
        <w:rPr>
          <w:rFonts w:hint="eastAsia" w:eastAsia="方正小标宋简体" w:cs="方正小标宋简体"/>
          <w:color w:val="FF0000"/>
          <w:spacing w:val="-28"/>
          <w:w w:val="80"/>
          <w:sz w:val="100"/>
          <w:szCs w:val="100"/>
          <w:lang w:eastAsia="zh-CN"/>
        </w:rPr>
        <w:t>办公室文件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教政法〔202</w:t>
      </w:r>
      <w:r>
        <w:rPr>
          <w:rFonts w:hint="eastAsia" w:ascii="仿宋_GB2312" w:hAnsi="仿宋_GB2312" w:eastAsia="仿宋_GB2312" w:cs="仿宋_GB2312"/>
          <w:color w:val="000000"/>
          <w:sz w:val="32"/>
          <w:szCs w:val="28"/>
          <w:lang w:val="en-US" w:eastAsia="zh-CN"/>
        </w:rPr>
        <w:t>1</w:t>
      </w:r>
      <w:r>
        <w:rPr>
          <w:rFonts w:hint="eastAsia" w:ascii="仿宋_GB2312" w:hAnsi="仿宋_GB2312" w:eastAsia="仿宋_GB2312" w:cs="仿宋_GB2312"/>
          <w:color w:val="000000"/>
          <w:sz w:val="32"/>
          <w:szCs w:val="28"/>
        </w:rPr>
        <w:t>〕</w:t>
      </w:r>
      <w:r>
        <w:rPr>
          <w:rFonts w:hint="eastAsia" w:ascii="仿宋_GB2312" w:hAnsi="仿宋_GB2312" w:eastAsia="仿宋_GB2312" w:cs="仿宋_GB2312"/>
          <w:color w:val="000000"/>
          <w:sz w:val="32"/>
          <w:szCs w:val="28"/>
          <w:lang w:val="en-US" w:eastAsia="zh-CN"/>
        </w:rPr>
        <w:t>167</w:t>
      </w:r>
      <w:r>
        <w:rPr>
          <w:rFonts w:hint="eastAsia" w:ascii="仿宋_GB2312" w:hAnsi="仿宋_GB2312" w:eastAsia="仿宋_GB2312" w:cs="仿宋_GB2312"/>
          <w:color w:val="000000"/>
          <w:sz w:val="32"/>
          <w:szCs w:val="28"/>
        </w:rPr>
        <w:t>号</w:t>
      </w:r>
    </w:p>
    <w:p>
      <w:pPr>
        <w:keepNext w:val="0"/>
        <w:keepLines w:val="0"/>
        <w:pageBreakBefore w:val="0"/>
        <w:widowControl w:val="0"/>
        <w:kinsoku/>
        <w:wordWrap/>
        <w:overflowPunct/>
        <w:topLinePunct w:val="0"/>
        <w:autoSpaceDE/>
        <w:autoSpaceDN/>
        <w:bidi w:val="0"/>
        <w:adjustRightInd/>
        <w:snapToGrid/>
        <w:spacing w:line="560" w:lineRule="exact"/>
        <w:ind w:firstLine="2240"/>
        <w:jc w:val="both"/>
        <w:textAlignment w:val="auto"/>
        <w:rPr>
          <w:rFonts w:hint="eastAsia" w:ascii="方正小标宋简体" w:hAnsi="方正小标宋简体" w:eastAsia="方正小标宋简体" w:cs="方正小标宋简体"/>
          <w:color w:val="000000"/>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80645</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1006475" y="3454400"/>
                          <a:ext cx="5600700" cy="0"/>
                        </a:xfrm>
                        <a:prstGeom prst="line">
                          <a:avLst/>
                        </a:prstGeom>
                        <a:ln w="63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pt;margin-top:6.35pt;height:0pt;width:441pt;z-index:251659264;mso-width-relative:page;mso-height-relative:page;" filled="f" stroked="t" coordsize="21600,21600" o:gfxdata="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ylasLVAAAACQEAAA8AAAAAAAAAAQAgAAAAIgAAAGRycy9k&#10;b3ducmV2LnhtbFBLAQIUABQAAAAIAIdO4kCjeHawBQIAAPADAAAOAAAAAAAAAAEAIAAAACQBAABk&#10;cnMvZTJvRG9jLnhtbFBLBQYAAAAABgAGAFkBAACbBQAAAAA=&#10;">
                <v:fill on="f" focussize="0,0"/>
                <v:stroke weight="0.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224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河南省教育厅办公室</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关于开展第六届全省学生“学宪法 讲宪法”</w:t>
      </w:r>
    </w:p>
    <w:p>
      <w:pPr>
        <w:keepNext w:val="0"/>
        <w:keepLines w:val="0"/>
        <w:pageBreakBefore w:val="0"/>
        <w:widowControl w:val="0"/>
        <w:kinsoku/>
        <w:wordWrap/>
        <w:overflowPunct/>
        <w:topLinePunct w:val="0"/>
        <w:autoSpaceDE/>
        <w:autoSpaceDN/>
        <w:bidi w:val="0"/>
        <w:adjustRightInd/>
        <w:snapToGrid/>
        <w:spacing w:line="560" w:lineRule="exact"/>
        <w:ind w:firstLine="3141"/>
        <w:jc w:val="both"/>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活动的通知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各省辖市、济源示范区、省直管县（市）教育局，各高等学校、省属中等职业学校、厅直属学校：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为深入贯彻落实习近平法治思想，特别是习近平总书记关于加强宪法法治学习宣传教育的系列重要指示精神，认真贯彻落实党的十九届五中全会精神，进一步在青少年学生中普及宪法知识、弘扬宪法精神、树立宪法权威，引导青少年学生自觉成为宪法的忠实崇尚者、自觉遵守者、坚定捍卫者，根据《教育部办公厅关于举办第六届全国学生“学宪法 讲宪法”活动的通知》（教政法厅函</w:t>
      </w:r>
      <w:r>
        <w:rPr>
          <w:rFonts w:hint="eastAsia" w:ascii="微软雅黑" w:hAnsi="微软雅黑" w:eastAsia="微软雅黑" w:cs="微软雅黑"/>
          <w:color w:val="000000"/>
          <w:sz w:val="32"/>
          <w:szCs w:val="32"/>
        </w:rPr>
        <w:t>〔</w:t>
      </w:r>
      <w:r>
        <w:rPr>
          <w:rFonts w:hint="eastAsia" w:ascii="仿宋" w:hAnsi="仿宋" w:eastAsia="仿宋" w:cs="仿宋"/>
          <w:color w:val="000000"/>
          <w:sz w:val="32"/>
          <w:szCs w:val="32"/>
        </w:rPr>
        <w:t>2021</w:t>
      </w:r>
      <w:r>
        <w:rPr>
          <w:rFonts w:hint="eastAsia" w:ascii="微软雅黑" w:hAnsi="微软雅黑" w:eastAsia="微软雅黑" w:cs="微软雅黑"/>
          <w:color w:val="000000"/>
          <w:sz w:val="32"/>
          <w:szCs w:val="32"/>
        </w:rPr>
        <w:t>〕</w:t>
      </w:r>
      <w:r>
        <w:rPr>
          <w:rFonts w:hint="eastAsia" w:ascii="仿宋" w:hAnsi="仿宋" w:eastAsia="仿宋" w:cs="仿宋"/>
          <w:color w:val="000000"/>
          <w:sz w:val="32"/>
          <w:szCs w:val="32"/>
        </w:rPr>
        <w:t>11号）和《中共河南省委全面依法治省委员会守法普法协调小组2021年工作要点》要求，现就组织开展第六届全省学力提升青少生“学宪法 讲宪法”活动的有关事项通知如下。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一、活动时间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自通知下发之日起至12月底。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二、活动内容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（一）组织以宪法为核心的法治宣传教育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深入学习宣传贯彻习近平法治思想。教育系统要将学习宣传贯彻习近平法治思想作为当前和今后一个时期青少年宪法法治教育的重要任务，推进习近平法治思想纳入国民教育体系，贯穿学讲宪法活动的全过程和各环节，引导广大干部师生准确把握习近平法治思想的基本精神、核心要义和实践要求，进一步坚定走中国特色社会主义法治道路的信心和决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将学讲宪法活动与党史、新中国史、改革开放史、社会主义发展史教育紧密结合。聚焦中国共产党百年华诞、全面建成小康社会等主题，重点宣传“四史”中的法治人物、法治故事和法治案例，引导青少年学生在学史中“明理、增信、崇德、力行”，厚植爱党爱国爱社会主义的情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3.深入开展青少年学生宪法法治教育。认真贯彻落实党中央关于推进法治中国和法治社会建设等相关决策部署，根据全国普法办和教育系统“八五”普法规划工作要求，坚持以宪法教育为核心，以民法典教育为重点，以培育和践行社会主义核心价值观为主线，紧密结合爱国主义教育、国情教育和行为养成教育，着力提升青少年学生宪法法治教育的质量和水平。坚持集中教育与日常教育相结合、线上教育和线下教育相结合，充分发挥课堂主渠道作用，科学设计宪法法治教育内容，不断完善学习宣传机制和活动方式，切实增强普法的针对性和实效性。认真开展各种形式的民法典宣传教育，引导学生强化规则意识，倡导契约精神，维护公序良俗。推动学校组织开展法治文化活动，通过歌曲、舞蹈、情景剧等多种方式弘扬宪法精神，提升宪法教育的影响力和感染力。大力宣传新修订的未成年人保护法和预防未成年人犯罪法，认真做好国家安全、环境保护、公共卫生、疫情防控等相关法治教育宣传，组织开展教育法、《中小学教育惩戒规则》等教育相关法律规章制度的宣传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组织实施《“宪法卫士”2021年行动计划》。各地要根据普法网公布的第六届全国学生“学宪法 讲宪法”活动安排，通过举行升旗仪式、诵读宪法文本、传递宪法火炬、开展校园宣传活动等多种形式的宪法教育活动，将优秀学生、教师的学习活动成果上传至普法网。各地各校要依托普法网大力开展青少年普法教育，建立学校法治资源教室，引导广大师生利用法治教育课堂和暑期实践组织广大师生进行注册学习，在线学习宪法与法治知识，开展宪法小卫士行动计划，按行动计划开展实践学习打卡任务、在线测评，各地各校在普法网进行注册登记学习总体情况将作为评选省级选拔赛优秀组织奖的重要评选依据，确保学生参与率不低于50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教育部全国青少年普法网（</w:t>
      </w:r>
      <w:r>
        <w:rPr>
          <w:rFonts w:hint="default" w:ascii="Times New Roman" w:hAnsi="Times New Roman" w:eastAsia="仿宋" w:cs="Times New Roman"/>
          <w:color w:val="000000"/>
          <w:sz w:val="32"/>
          <w:szCs w:val="32"/>
        </w:rPr>
        <w:t>https：</w:t>
      </w:r>
      <w:r>
        <w:rPr>
          <w:rFonts w:hint="default" w:ascii="Times New Roman" w:hAnsi="Times New Roman" w:eastAsia="仿宋" w:cs="Times New Roman"/>
          <w:color w:val="000000"/>
          <w:sz w:val="32"/>
          <w:szCs w:val="32"/>
          <w:lang w:val="en-US" w:eastAsia="zh-CN"/>
        </w:rPr>
        <w:t>//</w:t>
      </w:r>
      <w:r>
        <w:rPr>
          <w:rFonts w:hint="default" w:ascii="Times New Roman" w:hAnsi="Times New Roman" w:eastAsia="仿宋" w:cs="Times New Roman"/>
          <w:color w:val="000000"/>
          <w:sz w:val="32"/>
          <w:szCs w:val="32"/>
        </w:rPr>
        <w:t>www.qspfw.com／</w:t>
      </w:r>
      <w:r>
        <w:rPr>
          <w:rFonts w:hint="eastAsia" w:ascii="仿宋" w:hAnsi="仿宋" w:eastAsia="仿宋" w:cs="仿宋"/>
          <w:color w:val="000000"/>
          <w:sz w:val="32"/>
          <w:szCs w:val="32"/>
        </w:rPr>
        <w:t>，以下简称普法网）将设立“学宪法</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讲宪法”专栏，分学段为大中小学免费提供各类宪法教育资源。开设“教师宪法课堂专栏”，免费为教师提供宪法法治学习资源。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color w:val="000000"/>
          <w:sz w:val="32"/>
          <w:szCs w:val="32"/>
        </w:rPr>
        <w:t>（二）举办“学宪法讲宪法”比赛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开展青少年学生法治知识竞赛。在前期广泛开展宪法学习宣传的基础上，各地各校根据实际，结合党史知识、诚实守信、规则意识、劳动教育、未成年人保护等内容，自行组织开展知识竞赛。2021年9月23日前，各省辖市和直管县通过比赛遴选出小学、初中、高中三个组别优秀学生各1人，参加2021年10月中旬举行的省级遴选赛。各设有法学本科专业的高校同期遴选一名优秀学生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组织开展青少年“学宪法 讲宪法”演讲比赛。各地各校在深入推进宪法学习宣传的基础上，根据本地本校实际组织开展“学宪法 讲宪法”演讲比赛。2021年9月23日前，以省辖市、省直管县（市）为单位，遴选出小学组、初中组、高中组和高校组优秀学生各1人，参加省级选拔赛。其中，省辖市（含济源示范区）每组别推选1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2人，省直管县（市）每组别推选1人参加，各高校同期遴选1名优秀学生参加省级初选。所有被推荐参加演讲比赛的选手均需附上时长5</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6分钟的演讲视频，组委会组织专家对视频进行初选后确定参加省级现场赛对象。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前期各地各校组织学生在普法网的学习教育活动情况将作为省级现场赛的重要参考（占据知识竞赛和演讲比赛20</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成绩），省级遴选比赛后（省级赛事安排另行通知），组委会将视比赛情况，选拔优秀选手组成代表队参加全国总决赛。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color w:val="000000"/>
          <w:sz w:val="32"/>
          <w:szCs w:val="32"/>
        </w:rPr>
        <w:t>（三）开展国家宪法日“宪法晨读”活动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结合第八个国家宪法日暨教育系统宪法学习周活动，教育部将于2021年12月上旬组织开展教育系统“宪法晨读”活动。届时，教育部领导将在主会场领读宪法部分条款，并通过网络视频同步直播的方式组织全国师生共同参与诵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color w:val="000000"/>
          <w:sz w:val="32"/>
          <w:szCs w:val="32"/>
        </w:rPr>
        <w:t>（四）组织开展“我与宪法”微视频征集活动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为推进普及宪法知识、弘扬宪法精神，将面向教育系统广大干部师生征集“我与宪法”微视频，深入宣传我国宪法的地位、作用和主要内容，具体要求详见教育部全国青少年普法网后期通知。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color w:val="000000"/>
          <w:sz w:val="32"/>
          <w:szCs w:val="32"/>
        </w:rPr>
        <w:t>（一）抓好组织实施。</w:t>
      </w:r>
      <w:r>
        <w:rPr>
          <w:rFonts w:hint="eastAsia" w:ascii="仿宋" w:hAnsi="仿宋" w:eastAsia="仿宋" w:cs="仿宋"/>
          <w:color w:val="000000"/>
          <w:sz w:val="32"/>
          <w:szCs w:val="32"/>
        </w:rPr>
        <w:t>各地各校要高度重视，将宪法学习宣传作为一项重要政治任务，认真研究部署，加强组织领导，推动宪法教育全覆盖见实效。要加强统筹指导，合理安排学习时间和内容，力戒形式主义、官僚主义。要着力改革创新，深入探索青少年喜闻乐见的新途径、新方式，不断增强宪法教育的针对性和实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color w:val="000000"/>
          <w:sz w:val="32"/>
          <w:szCs w:val="32"/>
        </w:rPr>
        <w:t>（二）加强宣传引导。</w:t>
      </w:r>
      <w:r>
        <w:rPr>
          <w:rFonts w:hint="eastAsia" w:ascii="仿宋" w:hAnsi="仿宋" w:eastAsia="仿宋" w:cs="仿宋"/>
          <w:color w:val="000000"/>
          <w:sz w:val="32"/>
          <w:szCs w:val="32"/>
        </w:rPr>
        <w:t>各地各校要坚持正确导向，及时总结宪法学习宣传的优秀成果、经验做法和先进典型，为活动营造良好舆论环境。活动期间，省教育厅也将在厅网站对各地各校学习成果进行宣传报道。普法网将开通新闻通道，欢迎各地各校积极报送，全方位展示学习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color w:val="000000"/>
          <w:sz w:val="32"/>
          <w:szCs w:val="32"/>
        </w:rPr>
        <w:t>（三）坚持公平公正。</w:t>
      </w:r>
      <w:r>
        <w:rPr>
          <w:rFonts w:hint="eastAsia" w:ascii="仿宋" w:hAnsi="仿宋" w:eastAsia="仿宋" w:cs="仿宋"/>
          <w:color w:val="000000"/>
          <w:sz w:val="32"/>
          <w:szCs w:val="32"/>
        </w:rPr>
        <w:t>各地各校要坚持公平公正，择优遴选。省教育厅将根据各地各校在普法网开展宪法宣传学习和宪法小卫士参与情况，在各地各高校推荐的基础上，分组评出个人奖项和优秀组织奖。为便于后续工作联系，请各高校和厅直属学校明确专人负责此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2021年12月7日前，请各地、各高校和厅直属学校向省教育厅政策法规处报送本地本校的活动总结（工作进展、亮点及难点、典型案例或先进经验等）。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省教育厅政策法规处联系人及联系电话：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 xml:space="preserve">张宝柱 0371-69691272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附件：1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河南省青少年学生法治知识竞赛参赛信息表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河南省青少年学生“学宪法 讲宪法”演讲比赛参赛信息表</w:t>
      </w:r>
    </w:p>
    <w:p>
      <w:pPr>
        <w:keepNext w:val="0"/>
        <w:keepLines w:val="0"/>
        <w:pageBreakBefore w:val="0"/>
        <w:widowControl w:val="0"/>
        <w:kinsoku/>
        <w:wordWrap w:val="0"/>
        <w:overflowPunct/>
        <w:topLinePunct w:val="0"/>
        <w:autoSpaceDE/>
        <w:autoSpaceDN/>
        <w:bidi w:val="0"/>
        <w:adjustRightInd/>
        <w:snapToGrid/>
        <w:spacing w:line="600" w:lineRule="atLeast"/>
        <w:ind w:firstLine="640" w:firstLineChars="200"/>
        <w:jc w:val="right"/>
        <w:textAlignment w:val="auto"/>
        <w:rPr>
          <w:rFonts w:hint="eastAsia" w:ascii="仿宋" w:hAnsi="仿宋" w:eastAsia="仿宋"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atLeast"/>
        <w:ind w:firstLine="640" w:firstLineChars="200"/>
        <w:jc w:val="right"/>
        <w:textAlignment w:val="auto"/>
        <w:rPr>
          <w:rFonts w:hint="eastAsia" w:ascii="仿宋" w:hAnsi="仿宋" w:eastAsia="仿宋"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atLeast"/>
        <w:ind w:firstLine="640" w:firstLineChars="200"/>
        <w:jc w:val="right"/>
        <w:textAlignment w:val="auto"/>
        <w:rPr>
          <w:rFonts w:hint="eastAsia" w:ascii="仿宋" w:hAnsi="仿宋" w:eastAsia="仿宋"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atLeast"/>
        <w:ind w:firstLine="640" w:firstLineChars="200"/>
        <w:jc w:val="right"/>
        <w:textAlignment w:val="auto"/>
        <w:rPr>
          <w:rFonts w:hint="eastAsia" w:ascii="仿宋" w:hAnsi="仿宋" w:eastAsia="仿宋"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600" w:lineRule="atLeast"/>
        <w:ind w:firstLine="640" w:firstLineChars="200"/>
        <w:jc w:val="right"/>
        <w:textAlignment w:val="auto"/>
        <w:rPr>
          <w:rFonts w:hint="eastAsia" w:ascii="仿宋" w:hAnsi="仿宋" w:eastAsia="仿宋" w:cs="仿宋"/>
          <w:color w:val="000000"/>
          <w:sz w:val="32"/>
          <w:szCs w:val="32"/>
          <w:lang w:val="en-US" w:eastAsia="zh-CN"/>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仿宋" w:hAnsi="仿宋" w:eastAsia="仿宋" w:cs="仿宋"/>
          <w:color w:val="000000"/>
          <w:sz w:val="32"/>
          <w:szCs w:val="32"/>
        </w:rPr>
        <w:t>2021年6月15日</w:t>
      </w:r>
      <w:r>
        <w:rPr>
          <w:rFonts w:hint="eastAsia" w:ascii="仿宋" w:hAnsi="仿宋" w:eastAsia="仿宋" w:cs="仿宋"/>
          <w:color w:val="000000"/>
          <w:sz w:val="32"/>
          <w:szCs w:val="32"/>
          <w:lang w:val="en-US" w:eastAsia="zh-CN"/>
        </w:rPr>
        <w:t xml:space="preserve">  </w:t>
      </w:r>
    </w:p>
    <w:p>
      <w:pPr>
        <w:rPr>
          <w:rFonts w:hint="eastAsia" w:ascii="仿宋" w:hAnsi="仿宋" w:eastAsia="仿宋" w:cs="仿宋"/>
          <w:color w:val="000000"/>
          <w:spacing w:val="-6"/>
          <w:sz w:val="32"/>
          <w:szCs w:val="32"/>
        </w:rPr>
      </w:pPr>
      <w:r>
        <w:rPr>
          <w:rFonts w:hint="eastAsia" w:ascii="仿宋" w:hAnsi="仿宋" w:eastAsia="仿宋" w:cs="仿宋"/>
          <w:color w:val="000000"/>
          <w:spacing w:val="-6"/>
          <w:sz w:val="32"/>
          <w:szCs w:val="32"/>
        </w:rPr>
        <w:t>附件1</w:t>
      </w:r>
    </w:p>
    <w:p>
      <w:pPr>
        <w:pStyle w:val="2"/>
        <w:widowControl w:val="0"/>
        <w:spacing w:before="0" w:beforeAutospacing="0" w:after="0" w:afterAutospacing="0"/>
        <w:jc w:val="both"/>
        <w:rPr>
          <w:rFonts w:hint="eastAsia" w:ascii="黑体" w:hAnsi="仿宋" w:eastAsia="黑体" w:cs="Times New Roman"/>
          <w:b w:val="0"/>
          <w:bCs w:val="0"/>
          <w:color w:val="000000"/>
          <w:spacing w:val="-6"/>
          <w:szCs w:val="30"/>
        </w:rPr>
      </w:pPr>
    </w:p>
    <w:p>
      <w:pPr>
        <w:pStyle w:val="2"/>
        <w:widowControl w:val="0"/>
        <w:snapToGrid w:val="0"/>
        <w:spacing w:before="0" w:beforeAutospacing="0" w:after="0" w:afterAutospacing="0"/>
        <w:jc w:val="center"/>
        <w:rPr>
          <w:rFonts w:hint="eastAsia" w:ascii="方正小标宋简体" w:eastAsia="方正小标宋简体"/>
          <w:b w:val="0"/>
          <w:sz w:val="44"/>
          <w:szCs w:val="44"/>
        </w:rPr>
      </w:pPr>
      <w:r>
        <w:rPr>
          <w:rFonts w:hint="eastAsia" w:ascii="方正小标宋简体" w:eastAsia="方正小标宋简体"/>
          <w:b w:val="0"/>
          <w:bCs w:val="0"/>
          <w:sz w:val="44"/>
          <w:szCs w:val="44"/>
        </w:rPr>
        <w:t>河南省青少年学生法治知识竞赛参赛信息表</w:t>
      </w:r>
    </w:p>
    <w:p>
      <w:pPr>
        <w:rPr>
          <w:rFonts w:hint="eastAsia" w:ascii="楷体_GB2312" w:eastAsia="楷体_GB2312"/>
          <w:sz w:val="28"/>
          <w:szCs w:val="28"/>
        </w:rPr>
      </w:pPr>
      <w:r>
        <w:rPr>
          <w:rFonts w:hint="eastAsia" w:ascii="楷体_GB2312" w:hAnsi="宋体" w:eastAsia="楷体_GB2312"/>
          <w:sz w:val="28"/>
          <w:szCs w:val="28"/>
        </w:rPr>
        <w:t>报送单位：（盖章）</w:t>
      </w:r>
    </w:p>
    <w:tbl>
      <w:tblPr>
        <w:tblStyle w:val="4"/>
        <w:tblW w:w="13713" w:type="dxa"/>
        <w:jc w:val="center"/>
        <w:tblLayout w:type="fixed"/>
        <w:tblCellMar>
          <w:top w:w="0" w:type="dxa"/>
          <w:left w:w="108" w:type="dxa"/>
          <w:bottom w:w="0" w:type="dxa"/>
          <w:right w:w="108" w:type="dxa"/>
        </w:tblCellMar>
      </w:tblPr>
      <w:tblGrid>
        <w:gridCol w:w="731"/>
        <w:gridCol w:w="1750"/>
        <w:gridCol w:w="853"/>
        <w:gridCol w:w="852"/>
        <w:gridCol w:w="1376"/>
        <w:gridCol w:w="4105"/>
        <w:gridCol w:w="1461"/>
        <w:gridCol w:w="2585"/>
      </w:tblGrid>
      <w:tr>
        <w:tblPrEx>
          <w:tblCellMar>
            <w:top w:w="0" w:type="dxa"/>
            <w:left w:w="108" w:type="dxa"/>
            <w:bottom w:w="0" w:type="dxa"/>
            <w:right w:w="108" w:type="dxa"/>
          </w:tblCellMar>
        </w:tblPrEx>
        <w:trPr>
          <w:trHeight w:val="879"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序号</w:t>
            </w:r>
          </w:p>
        </w:tc>
        <w:tc>
          <w:tcPr>
            <w:tcW w:w="175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参赛学生</w:t>
            </w:r>
          </w:p>
          <w:p>
            <w:pPr>
              <w:snapToGrid w:val="0"/>
              <w:jc w:val="center"/>
              <w:rPr>
                <w:rFonts w:hint="eastAsia" w:ascii="黑体" w:eastAsia="黑体" w:cs="宋体"/>
                <w:sz w:val="24"/>
                <w:szCs w:val="24"/>
              </w:rPr>
            </w:pPr>
            <w:r>
              <w:rPr>
                <w:rFonts w:hint="eastAsia" w:ascii="黑体" w:eastAsia="黑体"/>
                <w:sz w:val="24"/>
                <w:szCs w:val="24"/>
              </w:rPr>
              <w:t>姓   名</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性别</w:t>
            </w:r>
          </w:p>
        </w:tc>
        <w:tc>
          <w:tcPr>
            <w:tcW w:w="85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年龄</w:t>
            </w:r>
          </w:p>
        </w:tc>
        <w:tc>
          <w:tcPr>
            <w:tcW w:w="137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参赛组别</w:t>
            </w:r>
          </w:p>
        </w:tc>
        <w:tc>
          <w:tcPr>
            <w:tcW w:w="410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学校及年级</w:t>
            </w:r>
          </w:p>
        </w:tc>
        <w:tc>
          <w:tcPr>
            <w:tcW w:w="146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指导教师</w:t>
            </w:r>
          </w:p>
          <w:p>
            <w:pPr>
              <w:snapToGrid w:val="0"/>
              <w:jc w:val="center"/>
              <w:rPr>
                <w:rFonts w:hint="eastAsia" w:ascii="黑体" w:eastAsia="黑体" w:cs="宋体"/>
                <w:sz w:val="24"/>
                <w:szCs w:val="24"/>
              </w:rPr>
            </w:pPr>
            <w:r>
              <w:rPr>
                <w:rFonts w:hint="eastAsia" w:ascii="黑体" w:eastAsia="黑体"/>
                <w:sz w:val="24"/>
                <w:szCs w:val="24"/>
              </w:rPr>
              <w:t>姓  名</w:t>
            </w:r>
          </w:p>
        </w:tc>
        <w:tc>
          <w:tcPr>
            <w:tcW w:w="258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指导教师手机号码</w:t>
            </w:r>
          </w:p>
        </w:tc>
      </w:tr>
      <w:tr>
        <w:tblPrEx>
          <w:tblCellMar>
            <w:top w:w="0" w:type="dxa"/>
            <w:left w:w="108" w:type="dxa"/>
            <w:bottom w:w="0" w:type="dxa"/>
            <w:right w:w="108" w:type="dxa"/>
          </w:tblCellMar>
        </w:tblPrEx>
        <w:trPr>
          <w:trHeight w:val="879"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宋体"/>
                <w:sz w:val="24"/>
                <w:szCs w:val="24"/>
              </w:rPr>
            </w:pPr>
          </w:p>
        </w:tc>
        <w:tc>
          <w:tcPr>
            <w:tcW w:w="1750"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2"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376"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4105"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461"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585"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r>
      <w:tr>
        <w:tblPrEx>
          <w:tblCellMar>
            <w:top w:w="0" w:type="dxa"/>
            <w:left w:w="108" w:type="dxa"/>
            <w:bottom w:w="0" w:type="dxa"/>
            <w:right w:w="108" w:type="dxa"/>
          </w:tblCellMar>
        </w:tblPrEx>
        <w:trPr>
          <w:trHeight w:val="879"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宋体"/>
                <w:sz w:val="24"/>
                <w:szCs w:val="24"/>
              </w:rPr>
            </w:pPr>
          </w:p>
        </w:tc>
        <w:tc>
          <w:tcPr>
            <w:tcW w:w="1750"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2"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376"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4105"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461"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585"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r>
    </w:tbl>
    <w:p>
      <w:pPr>
        <w:rPr>
          <w:rFonts w:hint="eastAsia" w:ascii="仿宋_GB2312"/>
        </w:rPr>
      </w:pPr>
      <w:r>
        <w:rPr>
          <w:rFonts w:hint="eastAsia" w:ascii="楷体_GB2312" w:hAnsi="宋体" w:eastAsia="楷体_GB2312"/>
          <w:sz w:val="24"/>
          <w:szCs w:val="24"/>
        </w:rPr>
        <w:t>省辖市教育局</w:t>
      </w:r>
      <w:r>
        <w:rPr>
          <w:rFonts w:hint="eastAsia" w:ascii="楷体_GB2312" w:eastAsia="楷体_GB2312"/>
          <w:sz w:val="24"/>
          <w:szCs w:val="24"/>
        </w:rPr>
        <w:t>/</w:t>
      </w:r>
      <w:r>
        <w:rPr>
          <w:rFonts w:hint="eastAsia" w:ascii="楷体_GB2312" w:hAnsi="宋体" w:eastAsia="楷体_GB2312"/>
          <w:sz w:val="24"/>
          <w:szCs w:val="24"/>
        </w:rPr>
        <w:t>学校联系人：</w:t>
      </w:r>
      <w:r>
        <w:rPr>
          <w:rFonts w:hint="eastAsia" w:ascii="楷体_GB2312" w:eastAsia="楷体_GB2312"/>
          <w:sz w:val="24"/>
          <w:szCs w:val="24"/>
        </w:rPr>
        <w:t xml:space="preserve">                             </w:t>
      </w:r>
      <w:r>
        <w:rPr>
          <w:rFonts w:hint="eastAsia" w:ascii="楷体_GB2312" w:hAnsi="宋体" w:eastAsia="楷体_GB2312"/>
          <w:sz w:val="24"/>
          <w:szCs w:val="24"/>
        </w:rPr>
        <w:t>联系电话：</w:t>
      </w:r>
    </w:p>
    <w:p>
      <w:pPr>
        <w:rPr>
          <w:rFonts w:hint="eastAsia" w:ascii="仿宋_GB2312"/>
        </w:rPr>
      </w:pPr>
    </w:p>
    <w:p>
      <w:pPr>
        <w:rPr>
          <w:rFonts w:hint="eastAsia" w:ascii="仿宋_GB2312"/>
        </w:rPr>
      </w:pPr>
    </w:p>
    <w:p>
      <w:pPr>
        <w:rPr>
          <w:rFonts w:hint="eastAsia" w:ascii="仿宋_GB2312"/>
        </w:rPr>
      </w:pPr>
    </w:p>
    <w:p>
      <w:pPr>
        <w:rPr>
          <w:rFonts w:hint="eastAsia" w:ascii="仿宋_GB2312"/>
        </w:rPr>
      </w:pPr>
    </w:p>
    <w:p>
      <w:pPr>
        <w:pStyle w:val="2"/>
        <w:widowControl w:val="0"/>
        <w:spacing w:before="0" w:beforeAutospacing="0" w:after="0" w:afterAutospacing="0"/>
        <w:jc w:val="both"/>
        <w:rPr>
          <w:rFonts w:ascii="黑体" w:hAnsi="仿宋" w:eastAsia="黑体" w:cs="Times New Roman"/>
          <w:b w:val="0"/>
          <w:bCs w:val="0"/>
          <w:color w:val="000000"/>
          <w:spacing w:val="-6"/>
          <w:szCs w:val="30"/>
        </w:rPr>
        <w:sectPr>
          <w:footerReference r:id="rId4" w:type="default"/>
          <w:pgSz w:w="16838" w:h="11906" w:orient="landscape"/>
          <w:pgMar w:top="1588" w:right="2268" w:bottom="1701" w:left="1644" w:header="0" w:footer="992" w:gutter="0"/>
          <w:pgNumType w:fmt="numberInDash"/>
          <w:cols w:space="720" w:num="1"/>
          <w:docGrid w:type="linesAndChars" w:linePitch="587" w:charSpace="1587"/>
        </w:sectPr>
      </w:pPr>
    </w:p>
    <w:p>
      <w:pPr>
        <w:pStyle w:val="2"/>
        <w:widowControl w:val="0"/>
        <w:spacing w:before="0" w:beforeAutospacing="0" w:after="0" w:afterAutospacing="0"/>
        <w:jc w:val="both"/>
        <w:rPr>
          <w:rFonts w:hint="eastAsia" w:ascii="黑体" w:hAnsi="仿宋" w:eastAsia="黑体" w:cs="Times New Roman"/>
          <w:b w:val="0"/>
          <w:bCs w:val="0"/>
          <w:color w:val="000000"/>
          <w:spacing w:val="-6"/>
          <w:szCs w:val="30"/>
        </w:rPr>
      </w:pPr>
      <w:r>
        <w:rPr>
          <w:rFonts w:hint="eastAsia" w:ascii="黑体" w:hAnsi="仿宋" w:eastAsia="黑体" w:cs="Times New Roman"/>
          <w:b w:val="0"/>
          <w:bCs w:val="0"/>
          <w:color w:val="000000"/>
          <w:spacing w:val="-6"/>
          <w:szCs w:val="30"/>
        </w:rPr>
        <w:t>附件2</w:t>
      </w:r>
    </w:p>
    <w:p>
      <w:pPr>
        <w:pStyle w:val="2"/>
        <w:widowControl w:val="0"/>
        <w:spacing w:before="0" w:beforeAutospacing="0" w:after="0" w:afterAutospacing="0"/>
        <w:jc w:val="both"/>
        <w:rPr>
          <w:rFonts w:hint="eastAsia" w:ascii="黑体" w:hAnsi="仿宋" w:eastAsia="黑体" w:cs="Times New Roman"/>
          <w:b w:val="0"/>
          <w:bCs w:val="0"/>
          <w:color w:val="000000"/>
          <w:spacing w:val="-6"/>
          <w:szCs w:val="30"/>
        </w:rPr>
      </w:pPr>
    </w:p>
    <w:p>
      <w:pPr>
        <w:pStyle w:val="2"/>
        <w:widowControl w:val="0"/>
        <w:snapToGrid w:val="0"/>
        <w:spacing w:before="0" w:beforeAutospacing="0" w:after="0" w:afterAutospacing="0"/>
        <w:jc w:val="center"/>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河南省青少年学生“学宪法 讲宪法”演讲比赛参赛信息表</w:t>
      </w:r>
    </w:p>
    <w:p>
      <w:pPr>
        <w:rPr>
          <w:rFonts w:hint="eastAsia" w:ascii="楷体_GB2312" w:hAnsi="宋体" w:eastAsia="楷体_GB2312"/>
          <w:sz w:val="28"/>
          <w:szCs w:val="28"/>
        </w:rPr>
      </w:pPr>
      <w:r>
        <w:rPr>
          <w:rFonts w:hint="eastAsia" w:ascii="楷体_GB2312" w:hAnsi="宋体" w:eastAsia="楷体_GB2312"/>
          <w:sz w:val="28"/>
          <w:szCs w:val="28"/>
        </w:rPr>
        <w:t>报送单位：（盖章）</w:t>
      </w:r>
    </w:p>
    <w:tbl>
      <w:tblPr>
        <w:tblStyle w:val="4"/>
        <w:tblW w:w="13570" w:type="dxa"/>
        <w:jc w:val="center"/>
        <w:tblLayout w:type="fixed"/>
        <w:tblCellMar>
          <w:top w:w="0" w:type="dxa"/>
          <w:left w:w="108" w:type="dxa"/>
          <w:bottom w:w="0" w:type="dxa"/>
          <w:right w:w="108" w:type="dxa"/>
        </w:tblCellMar>
      </w:tblPr>
      <w:tblGrid>
        <w:gridCol w:w="731"/>
        <w:gridCol w:w="1328"/>
        <w:gridCol w:w="2192"/>
        <w:gridCol w:w="853"/>
        <w:gridCol w:w="852"/>
        <w:gridCol w:w="1376"/>
        <w:gridCol w:w="2520"/>
        <w:gridCol w:w="1461"/>
        <w:gridCol w:w="2257"/>
      </w:tblGrid>
      <w:tr>
        <w:tblPrEx>
          <w:tblCellMar>
            <w:top w:w="0" w:type="dxa"/>
            <w:left w:w="108" w:type="dxa"/>
            <w:bottom w:w="0" w:type="dxa"/>
            <w:right w:w="108" w:type="dxa"/>
          </w:tblCellMar>
        </w:tblPrEx>
        <w:trPr>
          <w:trHeight w:val="885"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序号</w:t>
            </w:r>
          </w:p>
        </w:tc>
        <w:tc>
          <w:tcPr>
            <w:tcW w:w="1328"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参赛学生</w:t>
            </w:r>
          </w:p>
          <w:p>
            <w:pPr>
              <w:snapToGrid w:val="0"/>
              <w:jc w:val="center"/>
              <w:rPr>
                <w:rFonts w:hint="eastAsia" w:ascii="黑体" w:eastAsia="黑体" w:cs="宋体"/>
                <w:sz w:val="24"/>
                <w:szCs w:val="24"/>
              </w:rPr>
            </w:pPr>
            <w:r>
              <w:rPr>
                <w:rFonts w:hint="eastAsia" w:ascii="黑体" w:eastAsia="黑体"/>
                <w:sz w:val="24"/>
                <w:szCs w:val="24"/>
              </w:rPr>
              <w:t>姓    名</w:t>
            </w:r>
          </w:p>
        </w:tc>
        <w:tc>
          <w:tcPr>
            <w:tcW w:w="219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参赛作品名称</w:t>
            </w: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性别</w:t>
            </w:r>
          </w:p>
        </w:tc>
        <w:tc>
          <w:tcPr>
            <w:tcW w:w="85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年龄</w:t>
            </w:r>
          </w:p>
        </w:tc>
        <w:tc>
          <w:tcPr>
            <w:tcW w:w="1376"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参赛组别</w:t>
            </w:r>
          </w:p>
        </w:tc>
        <w:tc>
          <w:tcPr>
            <w:tcW w:w="2520"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学校及年级</w:t>
            </w:r>
          </w:p>
        </w:tc>
        <w:tc>
          <w:tcPr>
            <w:tcW w:w="1461"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指导教师</w:t>
            </w:r>
          </w:p>
          <w:p>
            <w:pPr>
              <w:snapToGrid w:val="0"/>
              <w:jc w:val="center"/>
              <w:rPr>
                <w:rFonts w:hint="eastAsia" w:ascii="黑体" w:eastAsia="黑体" w:cs="宋体"/>
                <w:sz w:val="24"/>
                <w:szCs w:val="24"/>
              </w:rPr>
            </w:pPr>
            <w:r>
              <w:rPr>
                <w:rFonts w:hint="eastAsia" w:ascii="黑体" w:eastAsia="黑体"/>
                <w:sz w:val="24"/>
                <w:szCs w:val="24"/>
              </w:rPr>
              <w:t>姓  名</w:t>
            </w:r>
          </w:p>
        </w:tc>
        <w:tc>
          <w:tcPr>
            <w:tcW w:w="2257"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黑体" w:eastAsia="黑体" w:cs="宋体"/>
                <w:sz w:val="24"/>
                <w:szCs w:val="24"/>
              </w:rPr>
            </w:pPr>
            <w:r>
              <w:rPr>
                <w:rFonts w:hint="eastAsia" w:ascii="黑体" w:eastAsia="黑体"/>
                <w:sz w:val="24"/>
                <w:szCs w:val="24"/>
              </w:rPr>
              <w:t>指导教师手机号码</w:t>
            </w:r>
          </w:p>
        </w:tc>
      </w:tr>
      <w:tr>
        <w:tblPrEx>
          <w:tblCellMar>
            <w:top w:w="0" w:type="dxa"/>
            <w:left w:w="108" w:type="dxa"/>
            <w:bottom w:w="0" w:type="dxa"/>
            <w:right w:w="108" w:type="dxa"/>
          </w:tblCellMar>
        </w:tblPrEx>
        <w:trPr>
          <w:trHeight w:val="885"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宋体"/>
                <w:sz w:val="24"/>
                <w:szCs w:val="24"/>
              </w:rPr>
            </w:pPr>
          </w:p>
        </w:tc>
        <w:tc>
          <w:tcPr>
            <w:tcW w:w="1328"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192"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2"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376"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520"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461"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257"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r>
      <w:tr>
        <w:tblPrEx>
          <w:tblCellMar>
            <w:top w:w="0" w:type="dxa"/>
            <w:left w:w="108" w:type="dxa"/>
            <w:bottom w:w="0" w:type="dxa"/>
            <w:right w:w="108" w:type="dxa"/>
          </w:tblCellMar>
        </w:tblPrEx>
        <w:trPr>
          <w:trHeight w:val="885" w:hRule="atLeast"/>
          <w:jc w:val="center"/>
        </w:trPr>
        <w:tc>
          <w:tcPr>
            <w:tcW w:w="73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cs="宋体"/>
                <w:sz w:val="24"/>
                <w:szCs w:val="24"/>
              </w:rPr>
            </w:pPr>
          </w:p>
        </w:tc>
        <w:tc>
          <w:tcPr>
            <w:tcW w:w="1328"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192"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3"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852"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376"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520"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1461"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c>
          <w:tcPr>
            <w:tcW w:w="2257" w:type="dxa"/>
            <w:tcBorders>
              <w:top w:val="single" w:color="auto" w:sz="4" w:space="0"/>
              <w:left w:val="nil"/>
              <w:bottom w:val="single" w:color="auto" w:sz="4" w:space="0"/>
              <w:right w:val="single" w:color="auto" w:sz="4" w:space="0"/>
            </w:tcBorders>
            <w:noWrap w:val="0"/>
            <w:vAlign w:val="center"/>
          </w:tcPr>
          <w:p>
            <w:pPr>
              <w:snapToGrid w:val="0"/>
              <w:jc w:val="center"/>
              <w:rPr>
                <w:rFonts w:cs="宋体"/>
                <w:sz w:val="24"/>
                <w:szCs w:val="24"/>
              </w:rPr>
            </w:pPr>
          </w:p>
        </w:tc>
      </w:tr>
    </w:tbl>
    <w:p>
      <w:pPr>
        <w:rPr>
          <w:rFonts w:hint="eastAsia" w:ascii="楷体_GB2312" w:eastAsia="楷体_GB2312"/>
          <w:sz w:val="24"/>
          <w:szCs w:val="24"/>
        </w:rPr>
      </w:pPr>
      <w:r>
        <w:rPr>
          <w:rFonts w:hint="eastAsia" w:ascii="楷体_GB2312" w:hAnsi="宋体" w:eastAsia="楷体_GB2312"/>
          <w:sz w:val="24"/>
          <w:szCs w:val="24"/>
        </w:rPr>
        <w:t>省辖市、省直管县（市）教育局</w:t>
      </w:r>
      <w:r>
        <w:rPr>
          <w:rFonts w:hint="eastAsia" w:ascii="楷体_GB2312" w:eastAsia="楷体_GB2312"/>
          <w:sz w:val="24"/>
          <w:szCs w:val="24"/>
        </w:rPr>
        <w:t>/</w:t>
      </w:r>
      <w:r>
        <w:rPr>
          <w:rFonts w:hint="eastAsia" w:ascii="楷体_GB2312" w:hAnsi="宋体" w:eastAsia="楷体_GB2312"/>
          <w:sz w:val="24"/>
          <w:szCs w:val="24"/>
        </w:rPr>
        <w:t>学校联系人：</w:t>
      </w:r>
      <w:r>
        <w:rPr>
          <w:rFonts w:hint="eastAsia" w:ascii="楷体_GB2312" w:eastAsia="楷体_GB2312"/>
          <w:sz w:val="24"/>
          <w:szCs w:val="24"/>
        </w:rPr>
        <w:t xml:space="preserve">                             </w:t>
      </w:r>
      <w:r>
        <w:rPr>
          <w:rFonts w:hint="eastAsia" w:ascii="楷体_GB2312" w:hAnsi="宋体" w:eastAsia="楷体_GB2312"/>
          <w:sz w:val="24"/>
          <w:szCs w:val="24"/>
        </w:rPr>
        <w:t>联系电话：</w:t>
      </w:r>
    </w:p>
    <w:p>
      <w:pPr>
        <w:rPr>
          <w:rFonts w:hint="eastAsia" w:eastAsiaTheme="minorEastAsia"/>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- 3 -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- 9 -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F28F1"/>
    <w:rsid w:val="42DF2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仿宋_GB2312" w:hAnsi="宋体" w:cs="宋体"/>
      <w:b/>
      <w:bCs/>
      <w:kern w:val="0"/>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2021-06-24T01:41:00Z</dcterms:created>
  <dc:creator>余生只会浪</dc:creator>
  <cp:lastModifiedBy>余生只会浪</cp:lastModifiedBy>
  <dcterms:modified xsi:type="dcterms:W3CDTF">2021-06-24T01:42:03Z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