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tabs>
          <w:tab w:val="left" w:pos="990"/>
        </w:tabs>
        <w:spacing w:line="600" w:lineRule="atLeas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附件</w:t>
      </w:r>
      <w:r>
        <w:rPr>
          <w:rFonts w:hint="eastAsia" w:ascii="仿宋_GB2312" w:hAnsi="仿宋_GB2312" w:eastAsia="仿宋_GB2312" w:cs="仿宋_GB2312"/>
          <w:color w:val="000000"/>
          <w:kern w:val="0"/>
          <w:sz w:val="32"/>
          <w:szCs w:val="32"/>
          <w:lang w:val="en-US" w:eastAsia="zh-CN"/>
        </w:rPr>
        <w:t>1</w:t>
      </w:r>
      <w:r>
        <w:rPr>
          <w:rFonts w:hint="eastAsia" w:ascii="仿宋_GB2312" w:hAnsi="仿宋_GB2312" w:eastAsia="仿宋_GB2312" w:cs="仿宋_GB2312"/>
          <w:color w:val="000000"/>
          <w:kern w:val="0"/>
          <w:sz w:val="32"/>
          <w:szCs w:val="32"/>
        </w:rPr>
        <w:t>：</w:t>
      </w:r>
    </w:p>
    <w:p>
      <w:pPr>
        <w:widowControl/>
        <w:shd w:val="clear" w:color="auto" w:fill="FFFFFF"/>
        <w:tabs>
          <w:tab w:val="left" w:pos="990"/>
        </w:tabs>
        <w:spacing w:line="600" w:lineRule="atLeast"/>
        <w:jc w:val="center"/>
        <w:rPr>
          <w:rFonts w:ascii="华文中宋" w:hAnsi="华文中宋" w:eastAsia="华文中宋" w:cs="华文中宋"/>
          <w:b/>
          <w:bCs/>
          <w:color w:val="000000"/>
          <w:kern w:val="0"/>
          <w:sz w:val="36"/>
          <w:szCs w:val="36"/>
        </w:rPr>
      </w:pPr>
      <w:r>
        <w:rPr>
          <w:rFonts w:hint="eastAsia" w:ascii="华文中宋" w:hAnsi="华文中宋" w:eastAsia="华文中宋" w:cs="华文中宋"/>
          <w:b/>
          <w:bCs/>
          <w:color w:val="000000"/>
          <w:kern w:val="0"/>
          <w:sz w:val="36"/>
          <w:szCs w:val="36"/>
        </w:rPr>
        <w:t>家长告知书</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ascii="仿宋" w:hAnsi="仿宋" w:eastAsia="仿宋"/>
          <w:sz w:val="28"/>
          <w:szCs w:val="28"/>
        </w:rPr>
      </w:pPr>
      <w:r>
        <w:rPr>
          <w:rFonts w:hint="eastAsia" w:ascii="仿宋" w:hAnsi="仿宋" w:eastAsia="仿宋"/>
          <w:sz w:val="28"/>
          <w:szCs w:val="28"/>
        </w:rPr>
        <w:t>尊敬的各位学生家长：</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你们好！</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又是一年暑假时，如何让孩子在漫长的暑假里学好玩好，这是每个家长所要面临的问题；而对于孩子来说呢，就应了“不怕同桌是学霸，就怕同桌过暑假”这句话。为帮助孩子们过一个愉快、充实的假期，市电教馆带领我市小学阶段名师团队精心制作了小学</w:t>
      </w:r>
      <w:r>
        <w:rPr>
          <w:rFonts w:hint="eastAsia" w:ascii="仿宋" w:hAnsi="仿宋" w:eastAsia="仿宋"/>
          <w:sz w:val="28"/>
          <w:szCs w:val="28"/>
          <w:lang w:val="en-US" w:eastAsia="zh-CN"/>
        </w:rPr>
        <w:t>学段</w:t>
      </w:r>
      <w:r>
        <w:rPr>
          <w:rFonts w:hint="eastAsia" w:ascii="仿宋" w:hAnsi="仿宋" w:eastAsia="仿宋"/>
          <w:sz w:val="28"/>
          <w:szCs w:val="28"/>
        </w:rPr>
        <w:t>语文、数学、英语、科学四个学科的优质动漫微课，供孩子们免费学习。</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该微课是由我市名师亲自撰写学习内容，结合孩子们现阶段所熟悉的一些认知，以小故事的形式，将抽象概念形象化、趣味化，符合学生认知规律，完全实现以学生为中心的动漫课程。教学内容精细，讲解语言风趣、幽默，教学时间控制在3-5分钟，以孩子们喜闻乐见的动漫形式展现。</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这些动漫微课资源，已通过驻马店教育云服务平台共享给全市的小学生，供孩子们随时随地进行观看、学习，让学生在笑声中感受学习的乐趣，于不知不觉中领悟所学的知识。</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仿宋" w:hAnsi="仿宋" w:eastAsia="仿宋"/>
          <w:sz w:val="28"/>
          <w:szCs w:val="28"/>
        </w:rPr>
      </w:pPr>
      <w:r>
        <w:rPr>
          <w:rFonts w:hint="eastAsia" w:ascii="仿宋" w:hAnsi="仿宋" w:eastAsia="仿宋"/>
          <w:sz w:val="28"/>
          <w:szCs w:val="28"/>
        </w:rPr>
        <w:t>亲爱的家长朋友、同学们，让我们相约驻马店教育云服务平台，不见不散！</w:t>
      </w:r>
    </w:p>
    <w:p>
      <w:pPr>
        <w:keepNext w:val="0"/>
        <w:keepLines w:val="0"/>
        <w:pageBreakBefore w:val="0"/>
        <w:widowControl w:val="0"/>
        <w:kinsoku/>
        <w:wordWrap/>
        <w:overflowPunct/>
        <w:topLinePunct w:val="0"/>
        <w:autoSpaceDE/>
        <w:autoSpaceDN/>
        <w:bidi w:val="0"/>
        <w:adjustRightInd/>
        <w:snapToGrid/>
        <w:spacing w:line="500" w:lineRule="exact"/>
        <w:ind w:firstLine="4760" w:firstLineChars="1700"/>
        <w:textAlignment w:val="auto"/>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4760" w:firstLineChars="1700"/>
        <w:textAlignment w:val="auto"/>
        <w:rPr>
          <w:rFonts w:ascii="仿宋" w:hAnsi="仿宋" w:eastAsia="仿宋"/>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4760" w:firstLineChars="1700"/>
        <w:textAlignment w:val="auto"/>
        <w:rPr>
          <w:rFonts w:ascii="仿宋" w:hAnsi="仿宋" w:eastAsia="仿宋"/>
          <w:sz w:val="28"/>
          <w:szCs w:val="28"/>
        </w:rPr>
      </w:pPr>
      <w:r>
        <w:rPr>
          <w:rFonts w:hint="eastAsia" w:ascii="仿宋" w:hAnsi="仿宋" w:eastAsia="仿宋"/>
          <w:sz w:val="28"/>
          <w:szCs w:val="28"/>
        </w:rPr>
        <w:t>驻马店市教育局</w:t>
      </w:r>
    </w:p>
    <w:p>
      <w:pPr>
        <w:keepNext w:val="0"/>
        <w:keepLines w:val="0"/>
        <w:pageBreakBefore w:val="0"/>
        <w:widowControl w:val="0"/>
        <w:kinsoku/>
        <w:wordWrap/>
        <w:overflowPunct/>
        <w:topLinePunct w:val="0"/>
        <w:autoSpaceDE/>
        <w:autoSpaceDN/>
        <w:bidi w:val="0"/>
        <w:adjustRightInd/>
        <w:snapToGrid/>
        <w:spacing w:line="500" w:lineRule="exact"/>
        <w:ind w:firstLine="4760" w:firstLineChars="1700"/>
        <w:textAlignment w:val="auto"/>
        <w:rPr>
          <w:rFonts w:hint="eastAsia" w:ascii="仿宋" w:hAnsi="仿宋" w:eastAsia="仿宋"/>
          <w:sz w:val="28"/>
          <w:szCs w:val="28"/>
        </w:rPr>
      </w:pPr>
      <w:r>
        <w:rPr>
          <w:rFonts w:hint="eastAsia" w:ascii="仿宋" w:hAnsi="仿宋" w:eastAsia="仿宋"/>
          <w:sz w:val="28"/>
          <w:szCs w:val="28"/>
        </w:rPr>
        <w:t>2020年6月2</w:t>
      </w:r>
      <w:r>
        <w:rPr>
          <w:rFonts w:hint="eastAsia" w:ascii="仿宋" w:hAnsi="仿宋" w:eastAsia="仿宋"/>
          <w:sz w:val="28"/>
          <w:szCs w:val="28"/>
          <w:lang w:val="en-US" w:eastAsia="zh-CN"/>
        </w:rPr>
        <w:t>9</w:t>
      </w:r>
      <w:r>
        <w:rPr>
          <w:rFonts w:hint="eastAsia" w:ascii="仿宋" w:hAnsi="仿宋" w:eastAsia="仿宋"/>
          <w:sz w:val="28"/>
          <w:szCs w:val="28"/>
        </w:rPr>
        <w:t>日</w:t>
      </w:r>
    </w:p>
    <w:p>
      <w:pPr>
        <w:keepNext w:val="0"/>
        <w:keepLines w:val="0"/>
        <w:pageBreakBefore w:val="0"/>
        <w:widowControl w:val="0"/>
        <w:kinsoku/>
        <w:wordWrap/>
        <w:overflowPunct/>
        <w:topLinePunct w:val="0"/>
        <w:autoSpaceDE/>
        <w:autoSpaceDN/>
        <w:bidi w:val="0"/>
        <w:adjustRightInd/>
        <w:snapToGrid/>
        <w:spacing w:line="500" w:lineRule="exact"/>
        <w:ind w:firstLine="4760" w:firstLineChars="1700"/>
        <w:textAlignment w:val="auto"/>
        <w:rPr>
          <w:rFonts w:hint="eastAsia" w:ascii="仿宋" w:hAnsi="仿宋" w:eastAsia="仿宋"/>
          <w:sz w:val="28"/>
          <w:szCs w:val="28"/>
        </w:rPr>
      </w:pPr>
    </w:p>
    <w:p>
      <w:pPr>
        <w:widowControl/>
        <w:shd w:val="clear" w:color="auto" w:fill="FFFFFF"/>
        <w:tabs>
          <w:tab w:val="left" w:pos="990"/>
        </w:tabs>
        <w:spacing w:line="600" w:lineRule="atLeast"/>
        <w:jc w:val="left"/>
        <w:rPr>
          <w:rFonts w:hint="eastAsia" w:ascii="仿宋_GB2312" w:hAnsi="仿宋_GB2312" w:eastAsia="仿宋_GB2312" w:cs="仿宋_GB2312"/>
          <w:color w:val="000000"/>
          <w:kern w:val="0"/>
          <w:sz w:val="32"/>
          <w:szCs w:val="32"/>
        </w:rPr>
      </w:pPr>
    </w:p>
    <w:p>
      <w:pPr>
        <w:widowControl/>
        <w:shd w:val="clear" w:color="auto" w:fill="FFFFFF"/>
        <w:tabs>
          <w:tab w:val="left" w:pos="990"/>
        </w:tabs>
        <w:spacing w:line="600" w:lineRule="atLeast"/>
        <w:jc w:val="left"/>
        <w:rPr>
          <w:rFonts w:hint="eastAsia" w:ascii="仿宋_GB2312" w:hAnsi="仿宋_GB2312" w:eastAsia="仿宋_GB2312" w:cs="仿宋_GB2312"/>
          <w:color w:val="000000"/>
          <w:kern w:val="0"/>
          <w:sz w:val="32"/>
          <w:szCs w:val="32"/>
        </w:rPr>
      </w:pPr>
    </w:p>
    <w:p>
      <w:pPr>
        <w:widowControl/>
        <w:shd w:val="clear" w:color="auto" w:fill="FFFFFF"/>
        <w:tabs>
          <w:tab w:val="left" w:pos="990"/>
        </w:tabs>
        <w:spacing w:line="600" w:lineRule="atLeast"/>
        <w:jc w:val="left"/>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附件2：</w:t>
      </w:r>
    </w:p>
    <w:p>
      <w:pPr>
        <w:widowControl/>
        <w:shd w:val="clear" w:color="auto" w:fill="FFFFFF"/>
        <w:tabs>
          <w:tab w:val="left" w:pos="990"/>
        </w:tabs>
        <w:spacing w:line="600" w:lineRule="atLeast"/>
        <w:jc w:val="center"/>
        <w:rPr>
          <w:rFonts w:ascii="华文中宋" w:hAnsi="华文中宋" w:eastAsia="华文中宋" w:cs="华文中宋"/>
          <w:b/>
          <w:bCs/>
          <w:color w:val="000000"/>
          <w:kern w:val="0"/>
          <w:sz w:val="36"/>
          <w:szCs w:val="36"/>
        </w:rPr>
      </w:pPr>
      <w:r>
        <w:rPr>
          <w:rFonts w:hint="eastAsia" w:ascii="华文中宋" w:hAnsi="华文中宋" w:eastAsia="华文中宋" w:cs="华文中宋"/>
          <w:b/>
          <w:bCs/>
          <w:color w:val="000000"/>
          <w:kern w:val="0"/>
          <w:sz w:val="36"/>
          <w:szCs w:val="36"/>
        </w:rPr>
        <w:t>驻马店市小学动漫微课的学习方法</w:t>
      </w:r>
    </w:p>
    <w:p>
      <w:pPr>
        <w:widowControl/>
        <w:shd w:val="clear" w:color="auto" w:fill="FFFFFF"/>
        <w:tabs>
          <w:tab w:val="left" w:pos="990"/>
        </w:tabs>
        <w:spacing w:line="600" w:lineRule="atLeast"/>
        <w:ind w:firstLine="562" w:firstLineChars="200"/>
        <w:jc w:val="left"/>
        <w:rPr>
          <w:rFonts w:ascii="仿宋" w:hAnsi="仿宋" w:eastAsia="仿宋" w:cs="仿宋_GB2312"/>
          <w:b/>
          <w:bCs/>
          <w:color w:val="000000"/>
          <w:kern w:val="0"/>
          <w:sz w:val="28"/>
          <w:szCs w:val="28"/>
        </w:rPr>
      </w:pPr>
      <w:r>
        <w:rPr>
          <w:rFonts w:hint="eastAsia" w:ascii="仿宋" w:hAnsi="仿宋" w:eastAsia="仿宋" w:cs="仿宋_GB2312"/>
          <w:b/>
          <w:bCs/>
          <w:color w:val="000000"/>
          <w:kern w:val="0"/>
          <w:sz w:val="28"/>
          <w:szCs w:val="28"/>
        </w:rPr>
        <w:t>学习方式一：移动端APP“人人通空间”进行观看学习。</w:t>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1、手机扫码或者通过应用商城进行下载“人人通空间”。</w:t>
      </w:r>
    </w:p>
    <w:p>
      <w:pPr>
        <w:widowControl/>
        <w:shd w:val="clear" w:color="auto" w:fill="FFFFFF"/>
        <w:tabs>
          <w:tab w:val="left" w:pos="990"/>
        </w:tabs>
        <w:spacing w:line="600" w:lineRule="atLeast"/>
        <w:ind w:firstLine="420" w:firstLineChars="200"/>
        <w:jc w:val="center"/>
        <w:rPr>
          <w:rFonts w:ascii="仿宋" w:hAnsi="仿宋" w:eastAsia="仿宋" w:cs="仿宋_GB2312"/>
          <w:color w:val="000000"/>
          <w:kern w:val="0"/>
          <w:sz w:val="28"/>
          <w:szCs w:val="28"/>
        </w:rPr>
      </w:pPr>
      <w:r>
        <w:drawing>
          <wp:inline distT="0" distB="0" distL="0" distR="0">
            <wp:extent cx="1752600" cy="17526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1752600" cy="1752600"/>
                    </a:xfrm>
                    <a:prstGeom prst="rect">
                      <a:avLst/>
                    </a:prstGeom>
                    <a:noFill/>
                    <a:ln>
                      <a:noFill/>
                    </a:ln>
                  </pic:spPr>
                </pic:pic>
              </a:graphicData>
            </a:graphic>
          </wp:inline>
        </w:drawing>
      </w:r>
      <w:r>
        <w:rPr>
          <w:rFonts w:hint="eastAsia" w:ascii="仿宋" w:hAnsi="仿宋" w:eastAsia="仿宋" w:cs="仿宋_GB2312"/>
          <w:color w:val="000000"/>
          <w:kern w:val="0"/>
          <w:sz w:val="28"/>
          <w:szCs w:val="28"/>
        </w:rPr>
        <w:t xml:space="preserve">      </w:t>
      </w:r>
      <w:r>
        <w:drawing>
          <wp:inline distT="0" distB="0" distL="0" distR="0">
            <wp:extent cx="1752600" cy="17526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752600" cy="1752600"/>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2、下载完成后点开“人人通空间”，输入由学校下发的云平台学生账号进行登录，账号由学校统一创建后进行下发，不需自行注册账号，如还没有账号请班主任联系学校管理员通过“mgr_”开头学校管理账号进行创建后下发给学生进行登录，如学生账号登录时忘记密码可联系班主任或者学校管理员进行重置密码。</w:t>
      </w:r>
    </w:p>
    <w:p>
      <w:pPr>
        <w:widowControl/>
        <w:shd w:val="clear" w:color="auto" w:fill="FFFFFF"/>
        <w:tabs>
          <w:tab w:val="left" w:pos="990"/>
        </w:tabs>
        <w:spacing w:line="600" w:lineRule="atLeast"/>
        <w:ind w:firstLine="420" w:firstLineChars="200"/>
        <w:jc w:val="center"/>
        <w:rPr>
          <w:rFonts w:ascii="仿宋_GB2312" w:hAnsi="仿宋_GB2312" w:eastAsia="仿宋_GB2312" w:cs="仿宋_GB2312"/>
          <w:color w:val="000000"/>
          <w:kern w:val="0"/>
          <w:sz w:val="32"/>
          <w:szCs w:val="32"/>
        </w:rPr>
      </w:pPr>
      <w:r>
        <w:drawing>
          <wp:inline distT="0" distB="0" distL="0" distR="0">
            <wp:extent cx="1569720" cy="2931795"/>
            <wp:effectExtent l="0" t="0" r="1143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78080" cy="2947987"/>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3、登录学生账号后点击“学习”，并进入“天中名校”。</w:t>
      </w:r>
    </w:p>
    <w:p>
      <w:pPr>
        <w:widowControl/>
        <w:shd w:val="clear" w:color="auto" w:fill="FFFFFF"/>
        <w:tabs>
          <w:tab w:val="left" w:pos="990"/>
        </w:tabs>
        <w:spacing w:line="600" w:lineRule="atLeast"/>
        <w:ind w:firstLine="420" w:firstLineChars="200"/>
        <w:jc w:val="center"/>
        <w:rPr>
          <w:rFonts w:ascii="仿宋_GB2312" w:hAnsi="仿宋_GB2312" w:eastAsia="仿宋_GB2312" w:cs="仿宋_GB2312"/>
          <w:color w:val="000000"/>
          <w:kern w:val="0"/>
          <w:sz w:val="32"/>
          <w:szCs w:val="32"/>
        </w:rPr>
      </w:pPr>
      <w:r>
        <w:drawing>
          <wp:inline distT="0" distB="0" distL="0" distR="0">
            <wp:extent cx="1973580" cy="3677285"/>
            <wp:effectExtent l="0" t="0" r="7620" b="184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973580" cy="3677285"/>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rPr>
        <w:t xml:space="preserve">   </w:t>
      </w:r>
      <w:r>
        <w:drawing>
          <wp:inline distT="0" distB="0" distL="0" distR="0">
            <wp:extent cx="2148840" cy="3597910"/>
            <wp:effectExtent l="0" t="0" r="381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148840" cy="3597910"/>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4、进入后可以看到首页“精品微课程”点击进入即可观看推荐课程。</w:t>
      </w:r>
    </w:p>
    <w:p>
      <w:pPr>
        <w:widowControl/>
        <w:shd w:val="clear" w:color="auto" w:fill="FFFFFF"/>
        <w:tabs>
          <w:tab w:val="left" w:pos="990"/>
        </w:tabs>
        <w:spacing w:line="600" w:lineRule="atLeast"/>
        <w:ind w:firstLine="420" w:firstLineChars="200"/>
        <w:jc w:val="center"/>
        <w:rPr>
          <w:rFonts w:ascii="仿宋_GB2312" w:hAnsi="仿宋_GB2312" w:eastAsia="仿宋_GB2312" w:cs="仿宋_GB2312"/>
          <w:color w:val="000000"/>
          <w:kern w:val="0"/>
          <w:sz w:val="32"/>
          <w:szCs w:val="32"/>
        </w:rPr>
      </w:pPr>
      <w:r>
        <w:drawing>
          <wp:inline distT="0" distB="0" distL="0" distR="0">
            <wp:extent cx="1371600" cy="272288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78052" cy="2736134"/>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5、进入右上方“搜索”可搜索观看小学语文、小学数学、小学英语、小学科学对应学科全部课程内容。</w:t>
      </w:r>
    </w:p>
    <w:p>
      <w:pPr>
        <w:widowControl/>
        <w:shd w:val="clear" w:color="auto" w:fill="FFFFFF"/>
        <w:tabs>
          <w:tab w:val="left" w:pos="990"/>
        </w:tabs>
        <w:spacing w:line="600" w:lineRule="atLeast"/>
        <w:ind w:firstLine="420" w:firstLineChars="200"/>
        <w:jc w:val="center"/>
        <w:rPr>
          <w:rFonts w:ascii="仿宋_GB2312" w:hAnsi="仿宋_GB2312" w:eastAsia="仿宋_GB2312" w:cs="仿宋_GB2312"/>
          <w:color w:val="000000"/>
          <w:kern w:val="0"/>
          <w:sz w:val="32"/>
          <w:szCs w:val="32"/>
        </w:rPr>
      </w:pPr>
      <w:r>
        <w:drawing>
          <wp:inline distT="0" distB="0" distL="0" distR="0">
            <wp:extent cx="1844040" cy="3665220"/>
            <wp:effectExtent l="0" t="0" r="3810" b="1143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44040" cy="3665220"/>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6、进入“搜索”后点击“精品微课程”例如输入“小学科学”。</w:t>
      </w:r>
    </w:p>
    <w:p>
      <w:pPr>
        <w:widowControl/>
        <w:shd w:val="clear" w:color="auto" w:fill="FFFFFF"/>
        <w:tabs>
          <w:tab w:val="left" w:pos="990"/>
        </w:tabs>
        <w:spacing w:line="600" w:lineRule="atLeast"/>
        <w:ind w:firstLine="420" w:firstLineChars="200"/>
        <w:jc w:val="center"/>
        <w:rPr>
          <w:rFonts w:ascii="仿宋_GB2312" w:hAnsi="仿宋_GB2312" w:eastAsia="仿宋_GB2312" w:cs="仿宋_GB2312"/>
          <w:color w:val="000000"/>
          <w:kern w:val="0"/>
          <w:sz w:val="32"/>
          <w:szCs w:val="32"/>
        </w:rPr>
      </w:pPr>
      <w:r>
        <w:drawing>
          <wp:inline distT="0" distB="0" distL="0" distR="0">
            <wp:extent cx="2697480" cy="2752090"/>
            <wp:effectExtent l="0" t="0" r="76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99372" cy="2754181"/>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7、输入完成点击搜索后，即可查看到驻马店市小学科学动漫微课。例如点击“生物的多样性”进入后可查看到该分类下所有课程，点击名称前“</w:t>
      </w:r>
      <w:r>
        <w:drawing>
          <wp:inline distT="0" distB="0" distL="0" distR="0">
            <wp:extent cx="335280" cy="281940"/>
            <wp:effectExtent l="0" t="0" r="762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35280" cy="281940"/>
                    </a:xfrm>
                    <a:prstGeom prst="rect">
                      <a:avLst/>
                    </a:prstGeom>
                    <a:noFill/>
                    <a:ln>
                      <a:noFill/>
                    </a:ln>
                  </pic:spPr>
                </pic:pic>
              </a:graphicData>
            </a:graphic>
          </wp:inline>
        </w:drawing>
      </w:r>
      <w:r>
        <w:rPr>
          <w:rFonts w:hint="eastAsia" w:ascii="仿宋" w:hAnsi="仿宋" w:eastAsia="仿宋" w:cs="仿宋_GB2312"/>
          <w:color w:val="000000"/>
          <w:kern w:val="0"/>
          <w:sz w:val="28"/>
          <w:szCs w:val="28"/>
        </w:rPr>
        <w:t>”按钮，即可进行观看。</w:t>
      </w:r>
    </w:p>
    <w:p>
      <w:pPr>
        <w:widowControl/>
        <w:shd w:val="clear" w:color="auto" w:fill="FFFFFF"/>
        <w:tabs>
          <w:tab w:val="left" w:pos="990"/>
        </w:tabs>
        <w:spacing w:line="600" w:lineRule="atLeast"/>
        <w:ind w:firstLine="420" w:firstLineChars="200"/>
        <w:jc w:val="center"/>
        <w:rPr>
          <w:rFonts w:ascii="仿宋_GB2312" w:hAnsi="仿宋_GB2312" w:eastAsia="仿宋_GB2312" w:cs="仿宋_GB2312"/>
          <w:color w:val="000000"/>
          <w:kern w:val="0"/>
          <w:sz w:val="32"/>
          <w:szCs w:val="32"/>
        </w:rPr>
      </w:pPr>
      <w:r>
        <w:drawing>
          <wp:inline distT="0" distB="0" distL="0" distR="0">
            <wp:extent cx="1752600" cy="3018790"/>
            <wp:effectExtent l="0" t="0" r="0"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752600" cy="3018790"/>
                    </a:xfrm>
                    <a:prstGeom prst="rect">
                      <a:avLst/>
                    </a:prstGeom>
                    <a:noFill/>
                    <a:ln>
                      <a:noFill/>
                    </a:ln>
                  </pic:spPr>
                </pic:pic>
              </a:graphicData>
            </a:graphic>
          </wp:inline>
        </w:drawing>
      </w:r>
      <w:r>
        <w:rPr>
          <w:rFonts w:hint="eastAsia" w:ascii="仿宋_GB2312" w:hAnsi="仿宋_GB2312" w:eastAsia="仿宋_GB2312" w:cs="仿宋_GB2312"/>
          <w:color w:val="000000"/>
          <w:kern w:val="0"/>
          <w:sz w:val="32"/>
          <w:szCs w:val="32"/>
        </w:rPr>
        <w:t xml:space="preserve">     </w:t>
      </w:r>
      <w:r>
        <w:drawing>
          <wp:inline distT="0" distB="0" distL="0" distR="0">
            <wp:extent cx="1859280" cy="3034030"/>
            <wp:effectExtent l="0" t="0" r="7620"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859280" cy="3034030"/>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8、选择需要播放的课程后点击进行播放，点击后方“</w:t>
      </w:r>
      <w:r>
        <w:rPr>
          <w:rFonts w:ascii="仿宋" w:hAnsi="仿宋" w:eastAsia="仿宋" w:cs="仿宋_GB2312"/>
          <w:color w:val="000000"/>
          <w:kern w:val="0"/>
          <w:sz w:val="28"/>
          <w:szCs w:val="28"/>
        </w:rPr>
        <w:drawing>
          <wp:inline distT="0" distB="0" distL="0" distR="0">
            <wp:extent cx="335280" cy="251460"/>
            <wp:effectExtent l="0" t="0" r="762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5280" cy="251460"/>
                    </a:xfrm>
                    <a:prstGeom prst="rect">
                      <a:avLst/>
                    </a:prstGeom>
                    <a:noFill/>
                    <a:ln>
                      <a:noFill/>
                    </a:ln>
                  </pic:spPr>
                </pic:pic>
              </a:graphicData>
            </a:graphic>
          </wp:inline>
        </w:drawing>
      </w:r>
      <w:r>
        <w:rPr>
          <w:rFonts w:hint="eastAsia" w:ascii="仿宋" w:hAnsi="仿宋" w:eastAsia="仿宋" w:cs="仿宋_GB2312"/>
          <w:color w:val="000000"/>
          <w:kern w:val="0"/>
          <w:sz w:val="28"/>
          <w:szCs w:val="28"/>
        </w:rPr>
        <w:t>”可进行全屏播放。</w:t>
      </w:r>
    </w:p>
    <w:p>
      <w:pPr>
        <w:widowControl/>
        <w:shd w:val="clear" w:color="auto" w:fill="FFFFFF"/>
        <w:tabs>
          <w:tab w:val="left" w:pos="990"/>
        </w:tabs>
        <w:spacing w:line="600" w:lineRule="atLeast"/>
        <w:ind w:firstLine="420" w:firstLineChars="200"/>
        <w:jc w:val="left"/>
        <w:rPr>
          <w:rFonts w:ascii="仿宋" w:hAnsi="仿宋" w:eastAsia="仿宋" w:cs="仿宋_GB2312"/>
          <w:color w:val="000000"/>
          <w:kern w:val="0"/>
          <w:sz w:val="28"/>
          <w:szCs w:val="28"/>
        </w:rPr>
      </w:pPr>
      <w:r>
        <w:drawing>
          <wp:inline distT="0" distB="0" distL="0" distR="0">
            <wp:extent cx="1943100" cy="313626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58817" cy="3136265"/>
                    </a:xfrm>
                    <a:prstGeom prst="rect">
                      <a:avLst/>
                    </a:prstGeom>
                    <a:noFill/>
                    <a:ln>
                      <a:noFill/>
                    </a:ln>
                  </pic:spPr>
                </pic:pic>
              </a:graphicData>
            </a:graphic>
          </wp:inline>
        </w:drawing>
      </w:r>
      <w:r>
        <w:rPr>
          <w:rFonts w:hint="eastAsia" w:ascii="仿宋" w:hAnsi="仿宋" w:eastAsia="仿宋" w:cs="仿宋_GB2312"/>
          <w:color w:val="000000"/>
          <w:kern w:val="0"/>
          <w:sz w:val="28"/>
          <w:szCs w:val="28"/>
        </w:rPr>
        <w:t xml:space="preserve">       </w:t>
      </w:r>
      <w:r>
        <w:drawing>
          <wp:inline distT="0" distB="0" distL="0" distR="0">
            <wp:extent cx="1859280" cy="3131185"/>
            <wp:effectExtent l="0" t="0" r="7620" b="1206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71278" cy="3131185"/>
                    </a:xfrm>
                    <a:prstGeom prst="rect">
                      <a:avLst/>
                    </a:prstGeom>
                    <a:noFill/>
                    <a:ln>
                      <a:noFill/>
                    </a:ln>
                  </pic:spPr>
                </pic:pic>
              </a:graphicData>
            </a:graphic>
          </wp:inline>
        </w:drawing>
      </w:r>
    </w:p>
    <w:p>
      <w:pPr>
        <w:widowControl/>
        <w:shd w:val="clear" w:color="auto" w:fill="FFFFFF"/>
        <w:tabs>
          <w:tab w:val="left" w:pos="990"/>
        </w:tabs>
        <w:spacing w:line="600" w:lineRule="atLeast"/>
        <w:ind w:firstLine="562" w:firstLineChars="200"/>
        <w:jc w:val="left"/>
        <w:rPr>
          <w:rFonts w:ascii="仿宋" w:hAnsi="仿宋" w:eastAsia="仿宋" w:cs="仿宋_GB2312"/>
          <w:b/>
          <w:bCs/>
          <w:color w:val="000000"/>
          <w:kern w:val="0"/>
          <w:sz w:val="28"/>
          <w:szCs w:val="28"/>
        </w:rPr>
      </w:pPr>
      <w:r>
        <w:rPr>
          <w:rFonts w:hint="eastAsia" w:ascii="仿宋" w:hAnsi="仿宋" w:eastAsia="仿宋" w:cs="仿宋_GB2312"/>
          <w:b/>
          <w:bCs/>
          <w:color w:val="000000"/>
          <w:kern w:val="0"/>
          <w:sz w:val="28"/>
          <w:szCs w:val="28"/>
        </w:rPr>
        <w:t>学习方式二：</w:t>
      </w:r>
      <w:r>
        <w:rPr>
          <w:rFonts w:hint="eastAsia" w:ascii="仿宋" w:hAnsi="仿宋" w:eastAsia="仿宋" w:cs="仿宋_GB2312"/>
          <w:b/>
          <w:bCs/>
          <w:color w:val="000000"/>
          <w:kern w:val="0"/>
          <w:sz w:val="28"/>
          <w:szCs w:val="28"/>
          <w:lang w:val="en-US" w:eastAsia="zh-CN"/>
        </w:rPr>
        <w:t>登陆电脑</w:t>
      </w:r>
      <w:r>
        <w:rPr>
          <w:rFonts w:hint="eastAsia" w:ascii="仿宋" w:hAnsi="仿宋" w:eastAsia="仿宋" w:cs="仿宋_GB2312"/>
          <w:b/>
          <w:bCs/>
          <w:color w:val="000000"/>
          <w:kern w:val="0"/>
          <w:sz w:val="28"/>
          <w:szCs w:val="28"/>
        </w:rPr>
        <w:t>网页端驻马店教育云服务平台（www.zmdedu.cn）进入“名校”进行观看学习。</w:t>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1、在电脑浏览器输入</w:t>
      </w:r>
      <w:r>
        <w:fldChar w:fldCharType="begin"/>
      </w:r>
      <w:r>
        <w:instrText xml:space="preserve"> HYPERLINK "http://www.zmdedu.cn" </w:instrText>
      </w:r>
      <w:r>
        <w:fldChar w:fldCharType="separate"/>
      </w:r>
      <w:r>
        <w:rPr>
          <w:rStyle w:val="4"/>
          <w:color w:val="000000"/>
        </w:rPr>
        <w:t>www.zmdedu.cn</w:t>
      </w:r>
      <w:r>
        <w:rPr>
          <w:rStyle w:val="4"/>
          <w:color w:val="000000"/>
        </w:rPr>
        <w:fldChar w:fldCharType="end"/>
      </w:r>
      <w:r>
        <w:rPr>
          <w:rFonts w:hint="eastAsia" w:ascii="仿宋" w:hAnsi="仿宋" w:eastAsia="仿宋" w:cs="仿宋_GB2312"/>
          <w:color w:val="000000"/>
          <w:kern w:val="0"/>
          <w:sz w:val="28"/>
          <w:szCs w:val="28"/>
        </w:rPr>
        <w:t>（最好使用</w:t>
      </w:r>
      <w:r>
        <w:rPr>
          <w:rFonts w:ascii="仿宋" w:hAnsi="仿宋" w:eastAsia="仿宋" w:cs="仿宋_GB2312"/>
          <w:color w:val="000000"/>
          <w:kern w:val="0"/>
          <w:sz w:val="28"/>
          <w:szCs w:val="28"/>
        </w:rPr>
        <w:t>360</w:t>
      </w:r>
      <w:r>
        <w:rPr>
          <w:rFonts w:hint="eastAsia" w:ascii="仿宋" w:hAnsi="仿宋" w:eastAsia="仿宋" w:cs="仿宋_GB2312"/>
          <w:color w:val="000000"/>
          <w:kern w:val="0"/>
          <w:sz w:val="28"/>
          <w:szCs w:val="28"/>
        </w:rPr>
        <w:t>安全、3</w:t>
      </w:r>
      <w:r>
        <w:rPr>
          <w:rFonts w:ascii="仿宋" w:hAnsi="仿宋" w:eastAsia="仿宋" w:cs="仿宋_GB2312"/>
          <w:color w:val="000000"/>
          <w:kern w:val="0"/>
          <w:sz w:val="28"/>
          <w:szCs w:val="28"/>
        </w:rPr>
        <w:t>60</w:t>
      </w:r>
      <w:r>
        <w:rPr>
          <w:rFonts w:hint="eastAsia" w:ascii="仿宋" w:hAnsi="仿宋" w:eastAsia="仿宋" w:cs="仿宋_GB2312"/>
          <w:color w:val="000000"/>
          <w:kern w:val="0"/>
          <w:sz w:val="28"/>
          <w:szCs w:val="28"/>
        </w:rPr>
        <w:t>极速或者谷歌浏览器）进入驻马店教育云服务平台。进入后可通过移动端APP “人人通空间” 进行扫码登录云平台，也可以直接输入云平台账号密码进行登录。“人人通空间”和云平台账号互通都是由学校统一创建后进行下发，不需自行注册账号，如还没有账号请班主任联系学校管理员通过“mgr_”开头学校管理账号进行创建后下发给学生进行登录，如学生账号登录时忘记密码可联系班主任或者学校管理员进行重置密码。</w:t>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5273040" cy="1937385"/>
            <wp:effectExtent l="0" t="0" r="381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3040" cy="1937385"/>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2、登录云平台后点击“去实名认证”，如已实名认证过可忽略，直接点击“名校”进行观看课程。</w:t>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3138170" cy="1453515"/>
            <wp:effectExtent l="0" t="0" r="508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138170" cy="1453515"/>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3、学生账号进入实名认证界面请依次输入“姓名”、“身份证号（填两遍）”、“选择身份：学生”、“选择学校/机构只需点击到“驻马店”输入学校其中两个字进行模糊查找，不用选择驻马店下属区域（请参照下图）。手机号为选填项填写完成勾选点击“您已阅读并同意”、点击“提交认证”，如填写无误即可认证成功。认证成功后点击“已实名认证”。</w:t>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2743200" cy="3415665"/>
            <wp:effectExtent l="0" t="0" r="0"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43200" cy="3415665"/>
                    </a:xfrm>
                    <a:prstGeom prst="rect">
                      <a:avLst/>
                    </a:prstGeom>
                    <a:noFill/>
                    <a:ln>
                      <a:noFill/>
                    </a:ln>
                  </pic:spPr>
                </pic:pic>
              </a:graphicData>
            </a:graphic>
          </wp:inline>
        </w:drawing>
      </w:r>
      <w:r>
        <w:drawing>
          <wp:inline distT="0" distB="0" distL="0" distR="0">
            <wp:extent cx="4533900" cy="21336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33900" cy="2133600"/>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4、实名认证后进入云平台请及时修改密码后，再次进行登录。</w:t>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4273550" cy="2556510"/>
            <wp:effectExtent l="0" t="0" r="12700" b="152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73550" cy="2556510"/>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5、登录成功后点击“名校”进入。</w:t>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4518660" cy="2125980"/>
            <wp:effectExtent l="0" t="0" r="152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518660" cy="2125980"/>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hint="eastAsia" w:ascii="仿宋" w:hAnsi="仿宋" w:eastAsia="仿宋" w:cs="仿宋_GB2312"/>
          <w:color w:val="000000"/>
          <w:kern w:val="0"/>
          <w:sz w:val="28"/>
          <w:szCs w:val="28"/>
        </w:rPr>
        <w:t>6、在“名校”首页找到“精品微课程”并选择学科。</w:t>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5082540" cy="2056765"/>
            <wp:effectExtent l="0" t="0" r="381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082540" cy="2056765"/>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ascii="仿宋" w:hAnsi="仿宋" w:eastAsia="仿宋" w:cs="仿宋_GB2312"/>
          <w:color w:val="000000"/>
          <w:kern w:val="0"/>
          <w:sz w:val="28"/>
          <w:szCs w:val="28"/>
        </w:rPr>
        <w:t>7</w:t>
      </w:r>
      <w:r>
        <w:rPr>
          <w:rFonts w:hint="eastAsia" w:ascii="仿宋" w:hAnsi="仿宋" w:eastAsia="仿宋" w:cs="仿宋_GB2312"/>
          <w:color w:val="000000"/>
          <w:kern w:val="0"/>
          <w:sz w:val="28"/>
          <w:szCs w:val="28"/>
        </w:rPr>
        <w:t>、如需观看小学科学“生物的多样性”课程，点击对应封面图后进入观看。</w:t>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5048250" cy="19424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8250" cy="1942465"/>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ascii="仿宋" w:hAnsi="仿宋" w:eastAsia="仿宋" w:cs="仿宋_GB2312"/>
          <w:color w:val="000000"/>
          <w:kern w:val="0"/>
          <w:sz w:val="28"/>
          <w:szCs w:val="28"/>
        </w:rPr>
        <w:t>8</w:t>
      </w:r>
      <w:r>
        <w:rPr>
          <w:rFonts w:hint="eastAsia" w:ascii="仿宋" w:hAnsi="仿宋" w:eastAsia="仿宋" w:cs="仿宋_GB2312"/>
          <w:color w:val="000000"/>
          <w:kern w:val="0"/>
          <w:sz w:val="28"/>
          <w:szCs w:val="28"/>
        </w:rPr>
        <w:t>、进入后点击“立即报名”，报名后会显示“已报名”。点击需观看课程后方“</w:t>
      </w:r>
      <w:r>
        <w:drawing>
          <wp:inline distT="0" distB="0" distL="0" distR="0">
            <wp:extent cx="297180" cy="2286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97180" cy="228600"/>
                    </a:xfrm>
                    <a:prstGeom prst="rect">
                      <a:avLst/>
                    </a:prstGeom>
                    <a:noFill/>
                    <a:ln>
                      <a:noFill/>
                    </a:ln>
                  </pic:spPr>
                </pic:pic>
              </a:graphicData>
            </a:graphic>
          </wp:inline>
        </w:drawing>
      </w:r>
      <w:r>
        <w:rPr>
          <w:rFonts w:hint="eastAsia" w:ascii="仿宋" w:hAnsi="仿宋" w:eastAsia="仿宋" w:cs="仿宋_GB2312"/>
          <w:color w:val="000000"/>
          <w:kern w:val="0"/>
          <w:sz w:val="28"/>
          <w:szCs w:val="28"/>
        </w:rPr>
        <w:t>”播放按钮。手机观看二维码，可用人人通空间扫码观看课程。</w:t>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5274310" cy="3952240"/>
            <wp:effectExtent l="0" t="0" r="254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3952240"/>
                    </a:xfrm>
                    <a:prstGeom prst="rect">
                      <a:avLst/>
                    </a:prstGeom>
                    <a:noFill/>
                    <a:ln>
                      <a:noFill/>
                    </a:ln>
                  </pic:spPr>
                </pic:pic>
              </a:graphicData>
            </a:graphic>
          </wp:inline>
        </w:drawing>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4876800" cy="214122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876800" cy="2141220"/>
                    </a:xfrm>
                    <a:prstGeom prst="rect">
                      <a:avLst/>
                    </a:prstGeom>
                    <a:noFill/>
                    <a:ln>
                      <a:noFill/>
                    </a:ln>
                  </pic:spPr>
                </pic:pic>
              </a:graphicData>
            </a:graphic>
          </wp:inline>
        </w:drawing>
      </w:r>
    </w:p>
    <w:p>
      <w:pPr>
        <w:widowControl/>
        <w:shd w:val="clear" w:color="auto" w:fill="FFFFFF"/>
        <w:tabs>
          <w:tab w:val="left" w:pos="990"/>
        </w:tabs>
        <w:spacing w:line="600" w:lineRule="atLeast"/>
        <w:ind w:firstLine="560" w:firstLineChars="200"/>
        <w:jc w:val="left"/>
        <w:rPr>
          <w:rFonts w:ascii="仿宋" w:hAnsi="仿宋" w:eastAsia="仿宋" w:cs="仿宋_GB2312"/>
          <w:color w:val="000000"/>
          <w:kern w:val="0"/>
          <w:sz w:val="28"/>
          <w:szCs w:val="28"/>
        </w:rPr>
      </w:pPr>
      <w:r>
        <w:rPr>
          <w:rFonts w:ascii="仿宋" w:hAnsi="仿宋" w:eastAsia="仿宋" w:cs="仿宋_GB2312"/>
          <w:color w:val="000000"/>
          <w:kern w:val="0"/>
          <w:sz w:val="28"/>
          <w:szCs w:val="28"/>
        </w:rPr>
        <w:t>9</w:t>
      </w:r>
      <w:r>
        <w:rPr>
          <w:rFonts w:hint="eastAsia" w:ascii="仿宋" w:hAnsi="仿宋" w:eastAsia="仿宋" w:cs="仿宋_GB2312"/>
          <w:color w:val="000000"/>
          <w:kern w:val="0"/>
          <w:sz w:val="28"/>
          <w:szCs w:val="28"/>
        </w:rPr>
        <w:t>、进入播放后点击中间按钮即可进行播放，也可在右侧切换课程进行播放。</w:t>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5274310" cy="251142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511425"/>
                    </a:xfrm>
                    <a:prstGeom prst="rect">
                      <a:avLst/>
                    </a:prstGeom>
                    <a:noFill/>
                    <a:ln>
                      <a:noFill/>
                    </a:ln>
                  </pic:spPr>
                </pic:pic>
              </a:graphicData>
            </a:graphic>
          </wp:inline>
        </w:drawing>
      </w:r>
    </w:p>
    <w:p>
      <w:pPr>
        <w:widowControl/>
        <w:shd w:val="clear" w:color="auto" w:fill="FFFFFF"/>
        <w:tabs>
          <w:tab w:val="left" w:pos="990"/>
        </w:tabs>
        <w:spacing w:line="600" w:lineRule="atLeast"/>
        <w:jc w:val="center"/>
        <w:rPr>
          <w:rFonts w:ascii="仿宋" w:hAnsi="仿宋" w:eastAsia="仿宋" w:cs="仿宋_GB2312"/>
          <w:color w:val="000000"/>
          <w:kern w:val="0"/>
          <w:sz w:val="28"/>
          <w:szCs w:val="28"/>
        </w:rPr>
      </w:pPr>
      <w:r>
        <w:drawing>
          <wp:inline distT="0" distB="0" distL="0" distR="0">
            <wp:extent cx="5265420" cy="2506980"/>
            <wp:effectExtent l="0" t="0" r="1143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65420" cy="2506980"/>
                    </a:xfrm>
                    <a:prstGeom prst="rect">
                      <a:avLst/>
                    </a:prstGeom>
                    <a:noFill/>
                    <a:ln>
                      <a:noFill/>
                    </a:ln>
                  </pic:spPr>
                </pic:pic>
              </a:graphicData>
            </a:graphic>
          </wp:inline>
        </w:drawing>
      </w:r>
    </w:p>
    <w:p>
      <w:pPr>
        <w:widowControl/>
        <w:shd w:val="clear" w:color="auto" w:fill="FFFFFF"/>
        <w:tabs>
          <w:tab w:val="left" w:pos="990"/>
        </w:tabs>
        <w:spacing w:line="600" w:lineRule="atLeast"/>
        <w:ind w:firstLine="160" w:firstLineChars="50"/>
        <w:rPr>
          <w:rFonts w:hint="eastAsia" w:ascii="仿宋_GB2312" w:hAnsi="仿宋_GB2312" w:eastAsia="仿宋_GB2312" w:cs="仿宋_GB2312"/>
          <w:color w:val="000000"/>
          <w:kern w:val="0"/>
          <w:sz w:val="32"/>
          <w:szCs w:val="32"/>
        </w:rPr>
      </w:pPr>
    </w:p>
    <w:p>
      <w:pPr>
        <w:widowControl/>
        <w:shd w:val="clear" w:color="auto" w:fill="FFFFFF"/>
        <w:tabs>
          <w:tab w:val="left" w:pos="990"/>
        </w:tabs>
        <w:spacing w:line="600" w:lineRule="atLeast"/>
        <w:ind w:firstLine="160" w:firstLineChars="50"/>
        <w:rPr>
          <w:rFonts w:hint="eastAsia" w:ascii="仿宋_GB2312" w:hAnsi="仿宋_GB2312" w:eastAsia="仿宋_GB2312" w:cs="仿宋_GB2312"/>
          <w:color w:val="000000"/>
          <w:kern w:val="0"/>
          <w:sz w:val="32"/>
          <w:szCs w:val="32"/>
        </w:rPr>
      </w:pPr>
    </w:p>
    <w:p>
      <w:pPr>
        <w:widowControl/>
        <w:shd w:val="clear" w:color="auto" w:fill="FFFFFF"/>
        <w:tabs>
          <w:tab w:val="left" w:pos="990"/>
        </w:tabs>
        <w:spacing w:line="600" w:lineRule="atLeast"/>
        <w:ind w:firstLine="160" w:firstLineChars="50"/>
        <w:rPr>
          <w:rFonts w:ascii="仿宋_GB2312" w:hAnsi="仿宋_GB2312" w:eastAsia="仿宋_GB2312" w:cs="仿宋_GB2312"/>
          <w:color w:val="000000"/>
          <w:kern w:val="0"/>
          <w:sz w:val="32"/>
          <w:szCs w:val="32"/>
        </w:rPr>
      </w:pPr>
      <w:r>
        <w:rPr>
          <w:rFonts w:hint="eastAsia" w:ascii="仿宋_GB2312" w:hAnsi="仿宋_GB2312" w:eastAsia="仿宋_GB2312" w:cs="仿宋_GB2312"/>
          <w:color w:val="000000"/>
          <w:kern w:val="0"/>
          <w:sz w:val="32"/>
          <w:szCs w:val="32"/>
        </w:rPr>
        <w:t>附件</w:t>
      </w:r>
      <w:r>
        <w:rPr>
          <w:rFonts w:hint="eastAsia" w:ascii="仿宋_GB2312" w:hAnsi="仿宋_GB2312" w:eastAsia="仿宋_GB2312" w:cs="仿宋_GB2312"/>
          <w:color w:val="000000"/>
          <w:kern w:val="0"/>
          <w:sz w:val="32"/>
          <w:szCs w:val="32"/>
          <w:lang w:val="en-US" w:eastAsia="zh-CN"/>
        </w:rPr>
        <w:t>3</w:t>
      </w:r>
      <w:r>
        <w:rPr>
          <w:rFonts w:hint="eastAsia" w:ascii="仿宋_GB2312" w:hAnsi="仿宋_GB2312" w:eastAsia="仿宋_GB2312" w:cs="仿宋_GB2312"/>
          <w:color w:val="000000"/>
          <w:kern w:val="0"/>
          <w:sz w:val="32"/>
          <w:szCs w:val="32"/>
        </w:rPr>
        <w:t>：</w:t>
      </w:r>
    </w:p>
    <w:p>
      <w:pPr>
        <w:widowControl/>
        <w:shd w:val="clear" w:color="auto" w:fill="FFFFFF"/>
        <w:tabs>
          <w:tab w:val="left" w:pos="990"/>
        </w:tabs>
        <w:spacing w:line="600" w:lineRule="atLeast"/>
        <w:jc w:val="center"/>
        <w:rPr>
          <w:rFonts w:hint="eastAsia" w:ascii="华文中宋" w:hAnsi="华文中宋" w:eastAsia="华文中宋" w:cs="华文中宋"/>
          <w:b/>
          <w:bCs/>
          <w:color w:val="000000"/>
          <w:kern w:val="0"/>
          <w:sz w:val="36"/>
          <w:szCs w:val="36"/>
        </w:rPr>
      </w:pPr>
      <w:r>
        <w:rPr>
          <w:rFonts w:hint="eastAsia" w:ascii="华文中宋" w:hAnsi="华文中宋" w:eastAsia="华文中宋" w:cs="华文中宋"/>
          <w:b/>
          <w:bCs/>
          <w:color w:val="000000"/>
          <w:kern w:val="0"/>
          <w:sz w:val="36"/>
          <w:szCs w:val="36"/>
        </w:rPr>
        <w:t>驻马店市小学</w:t>
      </w:r>
      <w:r>
        <w:rPr>
          <w:rFonts w:hint="eastAsia" w:ascii="华文中宋" w:hAnsi="华文中宋" w:eastAsia="华文中宋" w:cs="华文中宋"/>
          <w:b/>
          <w:bCs/>
          <w:color w:val="000000"/>
          <w:kern w:val="0"/>
          <w:sz w:val="36"/>
          <w:szCs w:val="36"/>
          <w:lang w:val="en-US" w:eastAsia="zh-CN"/>
        </w:rPr>
        <w:t>各学科</w:t>
      </w:r>
      <w:r>
        <w:rPr>
          <w:rFonts w:hint="eastAsia" w:ascii="华文中宋" w:hAnsi="华文中宋" w:eastAsia="华文中宋" w:cs="华文中宋"/>
          <w:b/>
          <w:bCs/>
          <w:color w:val="000000"/>
          <w:kern w:val="0"/>
          <w:sz w:val="36"/>
          <w:szCs w:val="36"/>
        </w:rPr>
        <w:t>动漫微课内容目录</w:t>
      </w:r>
    </w:p>
    <w:p>
      <w:pPr>
        <w:widowControl/>
        <w:shd w:val="clear" w:color="auto" w:fill="FFFFFF"/>
        <w:tabs>
          <w:tab w:val="left" w:pos="990"/>
        </w:tabs>
        <w:spacing w:line="600" w:lineRule="atLeast"/>
        <w:jc w:val="center"/>
        <w:rPr>
          <w:rFonts w:hint="eastAsia" w:ascii="华文中宋" w:hAnsi="华文中宋" w:eastAsia="华文中宋" w:cs="华文中宋"/>
          <w:b/>
          <w:bCs/>
          <w:color w:val="000000"/>
          <w:kern w:val="0"/>
          <w:sz w:val="36"/>
          <w:szCs w:val="36"/>
        </w:rPr>
      </w:pPr>
    </w:p>
    <w:tbl>
      <w:tblPr>
        <w:tblStyle w:val="2"/>
        <w:tblW w:w="8240" w:type="dxa"/>
        <w:tblInd w:w="0" w:type="dxa"/>
        <w:tblLayout w:type="autofit"/>
        <w:tblCellMar>
          <w:top w:w="0" w:type="dxa"/>
          <w:left w:w="108" w:type="dxa"/>
          <w:bottom w:w="0" w:type="dxa"/>
          <w:right w:w="108" w:type="dxa"/>
        </w:tblCellMar>
      </w:tblPr>
      <w:tblGrid>
        <w:gridCol w:w="2060"/>
        <w:gridCol w:w="6180"/>
      </w:tblGrid>
      <w:tr>
        <w:tblPrEx>
          <w:tblCellMar>
            <w:top w:w="0" w:type="dxa"/>
            <w:left w:w="108" w:type="dxa"/>
            <w:bottom w:w="0" w:type="dxa"/>
            <w:right w:w="108" w:type="dxa"/>
          </w:tblCellMar>
        </w:tblPrEx>
        <w:trPr>
          <w:trHeight w:val="636" w:hRule="atLeast"/>
        </w:trPr>
        <w:tc>
          <w:tcPr>
            <w:tcW w:w="8240" w:type="dxa"/>
            <w:gridSpan w:val="2"/>
            <w:tcBorders>
              <w:top w:val="nil"/>
              <w:left w:val="nil"/>
              <w:bottom w:val="nil"/>
              <w:right w:val="nil"/>
            </w:tcBorders>
            <w:shd w:val="clear" w:color="auto" w:fill="auto"/>
            <w:noWrap/>
            <w:vAlign w:val="center"/>
          </w:tcPr>
          <w:p>
            <w:pPr>
              <w:widowControl/>
              <w:jc w:val="left"/>
              <w:rPr>
                <w:rFonts w:ascii="宋体" w:hAnsi="宋体" w:cs="宋体"/>
                <w:b/>
                <w:bCs/>
                <w:color w:val="000000"/>
                <w:kern w:val="0"/>
                <w:sz w:val="28"/>
                <w:szCs w:val="28"/>
              </w:rPr>
            </w:pPr>
            <w:r>
              <w:rPr>
                <w:rFonts w:hint="eastAsia" w:ascii="宋体" w:hAnsi="宋体" w:cs="宋体"/>
                <w:b/>
                <w:bCs/>
                <w:color w:val="000000"/>
                <w:kern w:val="0"/>
                <w:sz w:val="28"/>
                <w:szCs w:val="28"/>
                <w:lang w:val="en-US" w:eastAsia="zh-CN"/>
              </w:rPr>
              <w:t>一、</w:t>
            </w:r>
            <w:r>
              <w:rPr>
                <w:rFonts w:hint="eastAsia" w:ascii="宋体" w:hAnsi="宋体" w:cs="宋体"/>
                <w:b/>
                <w:bCs/>
                <w:color w:val="000000"/>
                <w:kern w:val="0"/>
                <w:sz w:val="28"/>
                <w:szCs w:val="28"/>
              </w:rPr>
              <w:t>驻马店市小学语文</w:t>
            </w:r>
            <w:r>
              <w:rPr>
                <w:rFonts w:hint="eastAsia" w:ascii="宋体" w:hAnsi="宋体" w:cs="宋体"/>
                <w:b/>
                <w:bCs/>
                <w:color w:val="000000"/>
                <w:kern w:val="0"/>
                <w:sz w:val="28"/>
                <w:szCs w:val="28"/>
                <w:lang w:val="en-US" w:eastAsia="zh-CN"/>
              </w:rPr>
              <w:t>阅读与写作</w:t>
            </w:r>
            <w:r>
              <w:rPr>
                <w:rFonts w:hint="eastAsia" w:ascii="宋体" w:hAnsi="宋体" w:cs="宋体"/>
                <w:b/>
                <w:bCs/>
                <w:color w:val="000000"/>
                <w:kern w:val="0"/>
                <w:sz w:val="28"/>
                <w:szCs w:val="28"/>
              </w:rPr>
              <w:t>动漫微课目录</w:t>
            </w:r>
          </w:p>
        </w:tc>
      </w:tr>
      <w:tr>
        <w:tblPrEx>
          <w:tblCellMar>
            <w:top w:w="0" w:type="dxa"/>
            <w:left w:w="108" w:type="dxa"/>
            <w:bottom w:w="0" w:type="dxa"/>
            <w:right w:w="108" w:type="dxa"/>
          </w:tblCellMar>
        </w:tblPrEx>
        <w:trPr>
          <w:trHeight w:val="348" w:hRule="atLeast"/>
        </w:trPr>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课程分类</w:t>
            </w:r>
          </w:p>
        </w:tc>
        <w:tc>
          <w:tcPr>
            <w:tcW w:w="61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课程名称</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记事作文的定义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记事作文的六要素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记事作文的要求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记事作文的选材方法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记事作文对材料的处理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记事作文有哪些要求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记事作文的题目如何拟定</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记事作文的拟题方法有哪些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记事作文的开头部分如何写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记事作文事件的主体部分如何写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记事作文的结尾部分如何写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记事作文要道真</w:t>
            </w:r>
            <w:bookmarkStart w:id="0" w:name="_GoBack"/>
            <w:bookmarkEnd w:id="0"/>
            <w:r>
              <w:rPr>
                <w:rFonts w:hint="eastAsia" w:ascii="仿宋" w:hAnsi="仿宋" w:eastAsia="仿宋" w:cs="宋体"/>
                <w:color w:val="000000"/>
                <w:kern w:val="0"/>
                <w:sz w:val="22"/>
                <w:szCs w:val="22"/>
              </w:rPr>
              <w:t>情，写真事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阅读记事类文章时要把握记事文叙述的“六要素”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阅读记事类文章时要理清叙述的线索</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阅读记事类文章时要抓住文章重点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阅读记事文章时要弄清楚事情的发展顺序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阅读记事类文章时要领悟作者的思想感情</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阅读记事文章时，如何理解重要句子的作用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阅读记事类文章时，如何理解句子的含义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阅读记事文章时，如何感悟文章主旨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阅读记事文章时，要学会从词的角度赏析语言的生动性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阅读记事文章时，要学会从修辞的角度赏析语言的生动性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阅读记事文章时，要学会从句式的角度赏析语言的生动性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阅读记事文章时，要学会从语言风格的角度</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阅读记事文章时，要学会用段意合并法概括文章内容或故事情节</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阅读记事文章时，要学会用要素串联法概括文章内容或故事情节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阅读记事文章时，要学会用标题追溯法概括</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阅读记事文章时怎样分析人物形象</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写景作文</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什么是写景作文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观察景物时要做到哪几点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写景作文描写的顺序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写景作文的具体要求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写景作文的写作方法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写景作文如何做到重点突出，详略得当</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写景作文要突出景物的具体特点或特征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写景作文要有景有情、情景交融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写景作文的选景与抒情</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写景作文所写的景要注意符合客观事实</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什么是社会环境描写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记叙社会环境需要注意哪几点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阅读写景类文章时要了解写景类文章的类别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阅读写景类文章时要明确景物的描写顺序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阅读写景类文章时要理清文章的层次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阅读写景类文章时要体会文章的思想感情</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状物作文</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什么是状物作文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状物作文在写物品时要抓住物品的特征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状物作文在写物品时要按照一定的顺序写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状物需要想象和联想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状物作文写动物时要写它们的外形</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状物作文怎样写小动物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状物作文怎样写植物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阅读状物类文章时要弄清描写顺序，把握整体印象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阅读状物类文章时要抓住事物特点，理解写作目的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阅读状物类文章时要分析文章结构，理清文章层次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阅读状物类文章时要反复朗诵，细细品味</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想象作文</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什么是想象作文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想象作文怎样写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想象作文注意事项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想象作文的要求</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看图作文</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什么是看图作文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看图作文的写作要有合理的想象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看图作文的写作步骤</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看图作文的写作提纲</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看图作文的要求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看单幅图写作文如何写</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人物作文</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看有人物的多幅图如何写作文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看无人物的图片如何写作文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什么是写人作文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写人作文要选择典型的材料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写人作文描写人物的手法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肖像描写需要注意哪几点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写人作文如何写好人物的动作</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写人作文如何写好人物的语言</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写人作文中心理描写的作用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心理描写的技法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写人作文如何进行细节描写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阅读写人文章时要熟悉文章所写的事情</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阅读写人类文章时要学会分析人物的描写方法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阅读写人类文章时要了解选材特点，抓关键字词语句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阅读写人类文章时，要学会通过典型事例分析人物形象</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阅读写人类文章时要学会抓住外表特征，体会人物个性品质</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阅读写人类文章时要注意人物的语言、动作和心理活动的描写，体会人物的思想感情和内心世界</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阅读写人类文章时要学会分析写作目的，深化对文本的认知与理解</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读后感与日记</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什么是读后感</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读后感作文应该怎么写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应用文包括哪些文种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什么是日记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日记的分类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怎样写好日记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什么是读书笔记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读书笔记怎样写</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日常文稿类型</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什么是书信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书信的分类与特点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什么是请假条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什么是留言条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什么是借条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什么是通知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什么是表扬稿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表扬稿的写作要求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表扬稿的写作格式</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散文、童话、寓言、诗歌</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阅读童话前要了解童话的特点和类型-求实版</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阅读童话的方法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阅读寓言的方法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阅读诗歌的方法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作文阅读欣赏</w:t>
            </w: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阅读：痛心的一幕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阅读：夏夜、知了、篝火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阅读：摘番茄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阅读：第一次挣钱</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阅读：我做小老板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阅读：天真无邪的童年</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阅读：我用屁股“冒了险”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阅读：舍不得香肠，套不住狼</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阅读：不是冤家不聚头</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阅读：悠悠球比赛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阅读：喜庆开渔节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阅读：吃苦瓜</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阅读：雪之恋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阅读：我爱你，云</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阅读：莲花峰看云</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阅读：美丽的八仙山</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阅读：天堂苏州</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阅读：哈尔滨的冰雪</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阅读：北京真美</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阅读：乡情花语</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阅读：又到落叶缤纷时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阅读：珍贵的教科书</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阅读：撵肉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阅读：苦瓜</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阅读：我家的吸尘器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阅读：沙漏笔筒</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阅读：自行车自述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阅读：我家的大黑狗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阅读：我们家的鸭老爷</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阅读：仙人掌精神</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阅读：未来世界</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阅读：未来的“彩妹儿”伞</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阅读：神奇的家具</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阅读：未来的30世纪</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阅读：课间游戏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阅读：雨中</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阅读：捡线球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阅读：令人感动的一幕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阅读：“黑人”老妈</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阅读：幽默的爸爸</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阅读：“怪”爷爷</w:t>
            </w:r>
          </w:p>
        </w:tc>
      </w:tr>
      <w:tr>
        <w:tblPrEx>
          <w:tblCellMar>
            <w:top w:w="0" w:type="dxa"/>
            <w:left w:w="108" w:type="dxa"/>
            <w:bottom w:w="0" w:type="dxa"/>
            <w:right w:w="108" w:type="dxa"/>
          </w:tblCellMar>
        </w:tblPrEx>
        <w:trPr>
          <w:trHeight w:val="576" w:hRule="atLeast"/>
        </w:trPr>
        <w:tc>
          <w:tcPr>
            <w:tcW w:w="8240" w:type="dxa"/>
            <w:gridSpan w:val="2"/>
            <w:tcBorders>
              <w:top w:val="nil"/>
              <w:left w:val="nil"/>
              <w:bottom w:val="nil"/>
              <w:right w:val="nil"/>
            </w:tcBorders>
            <w:shd w:val="clear" w:color="auto" w:fill="auto"/>
            <w:noWrap/>
            <w:vAlign w:val="center"/>
          </w:tcPr>
          <w:p>
            <w:pPr>
              <w:widowControl/>
              <w:jc w:val="left"/>
              <w:rPr>
                <w:rFonts w:ascii="宋体" w:hAnsi="宋体" w:cs="宋体"/>
                <w:b/>
                <w:bCs/>
                <w:color w:val="000000"/>
                <w:kern w:val="0"/>
                <w:sz w:val="28"/>
                <w:szCs w:val="28"/>
              </w:rPr>
            </w:pPr>
            <w:r>
              <w:rPr>
                <w:rFonts w:hint="eastAsia" w:ascii="宋体" w:hAnsi="宋体" w:cs="宋体"/>
                <w:b/>
                <w:bCs/>
                <w:color w:val="000000"/>
                <w:kern w:val="0"/>
                <w:sz w:val="28"/>
                <w:szCs w:val="28"/>
                <w:lang w:val="en-US" w:eastAsia="zh-CN"/>
              </w:rPr>
              <w:t>二、</w:t>
            </w:r>
            <w:r>
              <w:rPr>
                <w:rFonts w:hint="eastAsia" w:ascii="宋体" w:hAnsi="宋体" w:cs="宋体"/>
                <w:b/>
                <w:bCs/>
                <w:color w:val="000000"/>
                <w:kern w:val="0"/>
                <w:sz w:val="28"/>
                <w:szCs w:val="28"/>
              </w:rPr>
              <w:t>驻马店市小学数学动漫微课目录</w:t>
            </w:r>
          </w:p>
        </w:tc>
      </w:tr>
      <w:tr>
        <w:tblPrEx>
          <w:tblCellMar>
            <w:top w:w="0" w:type="dxa"/>
            <w:left w:w="108" w:type="dxa"/>
            <w:bottom w:w="0" w:type="dxa"/>
            <w:right w:w="108" w:type="dxa"/>
          </w:tblCellMar>
        </w:tblPrEx>
        <w:trPr>
          <w:trHeight w:val="348" w:hRule="atLeast"/>
        </w:trPr>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课程分类</w:t>
            </w:r>
          </w:p>
        </w:tc>
        <w:tc>
          <w:tcPr>
            <w:tcW w:w="61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课程名称</w:t>
            </w:r>
          </w:p>
        </w:tc>
      </w:tr>
      <w:tr>
        <w:tblPrEx>
          <w:tblCellMar>
            <w:top w:w="0" w:type="dxa"/>
            <w:left w:w="108" w:type="dxa"/>
            <w:bottom w:w="0" w:type="dxa"/>
            <w:right w:w="108" w:type="dxa"/>
          </w:tblCellMar>
        </w:tblPrEx>
        <w:trPr>
          <w:trHeight w:val="312" w:hRule="atLeast"/>
        </w:trPr>
        <w:tc>
          <w:tcPr>
            <w:tcW w:w="206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加法</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理解整数加法的意义（5以内的加法）</w:t>
            </w:r>
          </w:p>
        </w:tc>
      </w:tr>
      <w:tr>
        <w:tblPrEx>
          <w:tblCellMar>
            <w:top w:w="0" w:type="dxa"/>
            <w:left w:w="108" w:type="dxa"/>
            <w:bottom w:w="0" w:type="dxa"/>
            <w:right w:w="108" w:type="dxa"/>
          </w:tblCellMar>
        </w:tblPrEx>
        <w:trPr>
          <w:trHeight w:val="312" w:hRule="atLeast"/>
        </w:trPr>
        <w:tc>
          <w:tcPr>
            <w:tcW w:w="206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加法</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课堂例题（5以内的加法的计算）</w:t>
            </w:r>
          </w:p>
        </w:tc>
      </w:tr>
      <w:tr>
        <w:tblPrEx>
          <w:tblCellMar>
            <w:top w:w="0" w:type="dxa"/>
            <w:left w:w="108" w:type="dxa"/>
            <w:bottom w:w="0" w:type="dxa"/>
            <w:right w:w="108" w:type="dxa"/>
          </w:tblCellMar>
        </w:tblPrEx>
        <w:trPr>
          <w:trHeight w:val="312" w:hRule="atLeast"/>
        </w:trPr>
        <w:tc>
          <w:tcPr>
            <w:tcW w:w="206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减法</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理解整数减法的意义（5以内的减法）</w:t>
            </w:r>
          </w:p>
        </w:tc>
      </w:tr>
      <w:tr>
        <w:tblPrEx>
          <w:tblCellMar>
            <w:top w:w="0" w:type="dxa"/>
            <w:left w:w="108" w:type="dxa"/>
            <w:bottom w:w="0" w:type="dxa"/>
            <w:right w:w="108" w:type="dxa"/>
          </w:tblCellMar>
        </w:tblPrEx>
        <w:trPr>
          <w:trHeight w:val="312" w:hRule="atLeast"/>
        </w:trPr>
        <w:tc>
          <w:tcPr>
            <w:tcW w:w="206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减法</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课堂例题（5以内的减法的计算）</w:t>
            </w:r>
          </w:p>
        </w:tc>
      </w:tr>
      <w:tr>
        <w:tblPrEx>
          <w:tblCellMar>
            <w:top w:w="0" w:type="dxa"/>
            <w:left w:w="108" w:type="dxa"/>
            <w:bottom w:w="0" w:type="dxa"/>
            <w:right w:w="108" w:type="dxa"/>
          </w:tblCellMar>
        </w:tblPrEx>
        <w:trPr>
          <w:trHeight w:val="312" w:hRule="atLeast"/>
        </w:trPr>
        <w:tc>
          <w:tcPr>
            <w:tcW w:w="2060" w:type="dxa"/>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加减混合</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一步加、减法解决问题（一步）</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100以内数的认识</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比较100以内整数的大小</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应用例题(比较100以内整数的大小的实际应用)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认识人民币</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常用单位元角分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应用例题讲解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货币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单位换算：1元=10角   1角=10分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应用例题讲解</w:t>
            </w:r>
          </w:p>
        </w:tc>
      </w:tr>
      <w:tr>
        <w:tblPrEx>
          <w:tblCellMar>
            <w:top w:w="0" w:type="dxa"/>
            <w:left w:w="108" w:type="dxa"/>
            <w:bottom w:w="0" w:type="dxa"/>
            <w:right w:w="108" w:type="dxa"/>
          </w:tblCellMar>
        </w:tblPrEx>
        <w:trPr>
          <w:trHeight w:val="312"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长度单位</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旗杆多高（一步）</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100以内的加法和减法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两位数加两位数计算方法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100以内的不进位加法计算方法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应用例题（两位数加两位数不进位加法的应用）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100以内的进位加法计算方法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应用例题（两位数加两位数进位加法的应用）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100以内的不退位减法计算方法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100以内退位减法计算方法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应用例题（100以内退位减法计算方）</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表内乘法（一）</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理解乘法的意义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应用例题1（有关乘法算式里各部分的名称）</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表内乘法（二）</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两步计算解决问题（两步）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一步乘、加解决问题（一步）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一步乘法解决问题（一步）</w:t>
            </w:r>
          </w:p>
        </w:tc>
      </w:tr>
      <w:tr>
        <w:tblPrEx>
          <w:tblCellMar>
            <w:top w:w="0" w:type="dxa"/>
            <w:left w:w="108" w:type="dxa"/>
            <w:bottom w:w="0" w:type="dxa"/>
            <w:right w:w="108" w:type="dxa"/>
          </w:tblCellMar>
        </w:tblPrEx>
        <w:trPr>
          <w:trHeight w:val="312"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认识时间</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时的认识</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表内除法（一）</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平均分</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应用例题（给总数和每份数，求份数）</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除法的初步认识</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用2～6的乘法口诀求商</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应用例题（列除法算式解决问题）</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表内除法（二）</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用7、8、9的乘法口诀求商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应用例题（列除法算式解决问题）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一步除法计算解决问题（一步）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一步除法计算解决问题（一步）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一步除法计算解决问题（一步）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一步除法解决问题（进一法，一步）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一步除法解决有规律的排列的问题（一步）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一步除法解决问题（一步）</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混合运算</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三位数加两位数计算方法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应用例题（三位数加两位数计算方法的应用）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两步乘加计算解决问题（两步）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两步综合算式解决问题（两步）</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有余数的除法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有余数的除法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余数与除法的关系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列除法竖式解决问题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应用例题（进一法与去尾法的初步应用）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应用例题（应用余数判断有规律排列的第n个的特点）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有余数的除法计算方法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万以内数的认识</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用加法解决问题（一步）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用减法解决问题（一步）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近似数问题（一步）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用估算解决问题（一步）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掌握万以内的整数的读法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应用例题（万以内的整数的读法）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比较万以内整数的大小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应用例题(比较万以内整数的大小的实际应用)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克和千克</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质量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质量单位</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时分秒</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1分有多长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例题讲解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例题讲解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 秒的认识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时间单位换算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应用例题讲解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计算经过时间（一步）</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万以内的加法和减法（一）</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万以内数的加法（不进位）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万以内数的减法（不退位）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万以内数的加法（进位）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万以内数的减法（退位）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三位数减三位数计算方法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应用例题（三位数减三位数计算的应用）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被减数中间有0的连续退位减法计算方法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应用例题（被减数中间有0的连续退位减法的应用）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用加法估算应用题（一步）</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测量</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认识长度单位“厘米”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认识长度单位“米”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长度的估测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用估算解决问题（一步）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最佳方案（列表法）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万以内的加法和减法（二）</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第一级运算的理解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应用例题(第一级运算的运用)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多位数乘一位数</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多位数乘一位数（口算乘法）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多位数乘一位数的笔算（中间无0的算法）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0的乘法运算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中间有0的笔算乘法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乘法估算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两位数乘一位数不进位乘法计算方法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两位数乘一位数进位乘法计算方法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应用例题（两位数乘一位数的应用）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三位数乘一位数进位乘法计算方法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应用例题（三位数乘一位数进位乘法计算的应用）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三位数乘一位数因数中间有0的乘法计算方法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三位数乘一位数因数末尾有0的乘法计算方法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应用例题（三位数乘一位数因数中有零的乘法应的用）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用乘法解决问题（一步）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乘除两步计算解决问题（两步）</w:t>
            </w:r>
          </w:p>
        </w:tc>
      </w:tr>
      <w:tr>
        <w:tblPrEx>
          <w:tblCellMar>
            <w:top w:w="0" w:type="dxa"/>
            <w:left w:w="108" w:type="dxa"/>
            <w:bottom w:w="0" w:type="dxa"/>
            <w:right w:w="108" w:type="dxa"/>
          </w:tblCellMar>
        </w:tblPrEx>
        <w:trPr>
          <w:trHeight w:val="312"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长方形和正方形</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16个正方形拼长方形（多种可能）</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分数的初步认识</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分数的初步认识</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分数的读法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分数数的写法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分数应用题（用除乘两步计算）</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除数是一位数的除法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用乘除法解决问题（分步计算与列综合算式）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整十、整百数除以一位数的口算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不是整十、整百数的除以一位数的口算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两位数除以一位数的笔算除法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三位数除以一位数的笔算除法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有余数的笔算除法及验算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被除数是0的除法运算（解释0不能做除数）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商的中间有0的除法竖式的简便写法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商的末尾有0的除法竖式的写法及验算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除数是一位数的除法的估算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口算整十数除以一位数的计算方法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两位数除以一位数商是两位数的计算方法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应用例题1（被除数各个数位上的数都能被整除）</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应用例题2（被除数十位上的数不能被整除的）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三位数除以一位数商是两位数的除法计算方法</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应用例题（三位数除以一位数商是两位数的除法计算方法）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三位数除以一位数商中间有0的除法计算方法</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应用例题（三位数除以一位数商中间有0的除法计算方法的应用）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整数连除应用题（两步）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典型问题解决1 归一问题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正归一问题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反归一问题</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两位数乘两位数</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两位数乘两位数（口算乘法）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两位数乘两位数（笔算乘法）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两位数乘两位数（不进位的笔算乘法）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两位数乘两位数（进位的笔算乘法）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应用例题（用连除或乘除多种方法解决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两位数乘两位不进位乘法计算方法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两位数乘两位进位乘法计算方法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应用例题（两位数乘两位进位乘法计算方法的应用）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整数乘法应用题（一步）</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面积</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 常用的面积单位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什么是面积</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 面积单位之间的进率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 应用例题（铺地砖）</w:t>
            </w:r>
          </w:p>
        </w:tc>
      </w:tr>
      <w:tr>
        <w:tblPrEx>
          <w:tblCellMar>
            <w:top w:w="0" w:type="dxa"/>
            <w:left w:w="108" w:type="dxa"/>
            <w:bottom w:w="0" w:type="dxa"/>
            <w:right w:w="108" w:type="dxa"/>
          </w:tblCellMar>
        </w:tblPrEx>
        <w:trPr>
          <w:trHeight w:val="624"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年月日</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年月日大月、小月、平年、闰年、年月日之间联系，记法。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应用例题讲解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24时计时法</w:t>
            </w:r>
          </w:p>
        </w:tc>
      </w:tr>
      <w:tr>
        <w:tblPrEx>
          <w:tblCellMar>
            <w:top w:w="0" w:type="dxa"/>
            <w:left w:w="108" w:type="dxa"/>
            <w:bottom w:w="0" w:type="dxa"/>
            <w:right w:w="108" w:type="dxa"/>
          </w:tblCellMar>
        </w:tblPrEx>
        <w:trPr>
          <w:trHeight w:val="312"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小数的初步认识</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小数加减法应用题（一步）</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大数的认识</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掌握万以上的整数的读法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应用例题（万以上的整数的读法）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数位</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大数的比较</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应用例题（大数的比较的实际应用）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计数单位（四上）十进制计数法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整万数的改写</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非整万数的改写</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整亿数的改写</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非整亿数的改写</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认识准确数和近似数</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应用例题（准确数和近似数的实际应用）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整数的近似数</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小数的近似数</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应用例题（小数的近似数的实际应用）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掌握四舍五入法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应用例题（四舍五入法的实际应用）</w:t>
            </w:r>
          </w:p>
        </w:tc>
      </w:tr>
      <w:tr>
        <w:tblPrEx>
          <w:tblCellMar>
            <w:top w:w="0" w:type="dxa"/>
            <w:left w:w="108" w:type="dxa"/>
            <w:bottom w:w="0" w:type="dxa"/>
            <w:right w:w="108" w:type="dxa"/>
          </w:tblCellMar>
        </w:tblPrEx>
        <w:trPr>
          <w:trHeight w:val="312"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公顷和平方千米</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公顷和平方千米</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角的度量</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直线的定义</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应用例题:直线的判断</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射线的定义</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应用例题：射线的判断和画射线</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线段的定义判断与画法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认识线段，画指定长度的线段</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应用例题：数线段</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角得初步认识</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三位数乘两位数</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三位数乘两位数（笔算乘法）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三位数乘两位数（因数的末尾没有0的笔算乘法）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三位数乘两位数（因数的末尾有0的笔算乘法）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积随着因数变化而变化的规律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速度、路程和时间的关系（最基本的行程问题）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三位数乘两位数的乘法计算方法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应用例题（三位数乘两位数的乘法计算方法的应用）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三位数乘两位数因数末尾有零的乘法计算方法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平行四边形和梯形</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平行线的定义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平行线的画法。</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能够借助实物，平面图形或立体图形，寻找出图中的平行线。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用数学符号表示两条直线的平行关系。如AB∥CD。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垂线的定义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画垂线</w:t>
            </w:r>
          </w:p>
        </w:tc>
      </w:tr>
      <w:tr>
        <w:tblPrEx>
          <w:tblCellMar>
            <w:top w:w="0" w:type="dxa"/>
            <w:left w:w="108" w:type="dxa"/>
            <w:bottom w:w="0" w:type="dxa"/>
            <w:right w:w="108" w:type="dxa"/>
          </w:tblCellMar>
        </w:tblPrEx>
        <w:trPr>
          <w:trHeight w:val="624"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除数是两位数的除法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除数是两位数的除法（口算除法）例：60除以20，90除以30</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除数是两位数的除法（笔算除法）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除数是整十数的笔算除法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除数不是整十数的笔算除法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试商</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应用例题（用除法解决问题、总结除数是两位数的计算方法）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商的变化规律（商不变的性质）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用商不变的性质简算除法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两位数除以两位数的除法计算方法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应用例题1（除数是整十数的除法）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应用例题2（除数是非整十数的除法）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三位数除以两位数的商是两位数的除法计算方法</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应用例题（三位数除以两位数的商是两位数的除法的应用）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三位数除以两位数的商是一位数的除法计算方法</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应用例题（三位数除以两位数的商是一位数的除法的应用）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商不变的规律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应用例题（商不变规律的应用）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第二级运算的理解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 应用例题(第二级运算的运用)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（三位数除以两位数）（一步）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一步除法解决问题（三位数除以两位数）（一步）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典型问题解决2  （3）归总问题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典型问题解决3  （4）和差问题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典型问题解决4  （5）和倍问题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典型问题解决5  （6）差倍问题（2个）</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典型问题解决6  （7）行程问题</w:t>
            </w:r>
          </w:p>
        </w:tc>
      </w:tr>
      <w:tr>
        <w:tblPrEx>
          <w:tblCellMar>
            <w:top w:w="0" w:type="dxa"/>
            <w:left w:w="108" w:type="dxa"/>
            <w:bottom w:w="0" w:type="dxa"/>
            <w:right w:w="108" w:type="dxa"/>
          </w:tblCellMar>
        </w:tblPrEx>
        <w:trPr>
          <w:trHeight w:val="312"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数学广角--优化</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最优化问题（三步）</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四则运算</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减法的性质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应用例题（减法性质的应用）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理解除法的意义</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应用例题1（有关除法算式里各部分的名称）</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0、1在乘法算式里的特殊性</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应用例题2(有关0、1在乘法算式里的特殊性)</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0在除法算式里的特殊性</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应用例题2(有关0在除法算式里的特殊性)</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掌握没有括号的混合运算顺序</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应用例题（没有括号的混合运算顺序）</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掌握只有小括号的混合运算顺序</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应用例题(带小括号的混合运算顺序的运用)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掌握带有中括号的混合运算顺序</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应用例题(带有中括号的混合运算顺序的运用)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运算定律</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加法交换律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加法结合律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应用例题（加法交换律与结合律的应用）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乘法法交换律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乘法结合律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应用例题（乘法交换律与结合律的应用）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乘法分配律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应用例题1（乘法分配律的应用：“合与分”）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应用例题2（乘法分配律的应用：“加变”）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应用例题3（乘法分配律的应用：“减变”）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应用例题4（乘法分配律的应用：“因变”）</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小数的意义和性质</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小数的读法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小数的写法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小数的基本性质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应用例题1（化简小数）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掌握比较小数大小的方法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应用例题（比较小数大小的实际应用）</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乘法计算解决问题（通过移动小数点计算结果的小数乘法）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小数点位置的移动规律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应用例题1（单位的转换）</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应用例题2（大数的改写）</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小数的加法和减法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小数部分位数相同的小数的加法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小数部分位数不相同的小数的加法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小数部分位数相同的小数的减法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小数部分位数不相同的小数的减法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小数加法的意义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小数减法的意义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小数加减混合运算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小数一步加、减法计算解决问题（一步）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小数加、减法计算解决问题（两步）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整数加法运算定律推广到小数（小数的简算）</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平均数与条形统计图</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平均数的意义和算法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平均数问题（多步）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应用例题（用平均数比较人数不等两组的成绩）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平均数问题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算术平均数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加权平均数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差额平均数</w:t>
            </w:r>
          </w:p>
        </w:tc>
      </w:tr>
      <w:tr>
        <w:tblPrEx>
          <w:tblCellMar>
            <w:top w:w="0" w:type="dxa"/>
            <w:left w:w="108" w:type="dxa"/>
            <w:bottom w:w="0" w:type="dxa"/>
            <w:right w:w="108" w:type="dxa"/>
          </w:tblCellMar>
        </w:tblPrEx>
        <w:trPr>
          <w:trHeight w:val="624"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数学广角--鸡兔同笼</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鸡兔同笼问题（假设法，多步）</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小数乘法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小数的乘法（小数乘整数）</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小数乘整数计算方法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应用例题（小数乘整数计算的应用）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理解小数乘整数的意义</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应用例题（小数乘整数意义的运用）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小数乘法解决问题（一步）</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理解一个数乘以小数的意义。</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应用例题（一个数乘以小数的意义的运用）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小数乘小数计算法则的推导</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应用例题（解决问题、验算）</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小数乘小数计算方法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应用例题（小数乘小数计算方法）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积的近似值</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乘法估算解决问题</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应用例题（分段计费问题）</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小数乘法解决问题（积的近似值）（一步）</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整数乘法运算定律推广到小数</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分段计费问题（两步）折扣问题（两步）</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用估算解决问题（积的近似值）（一步）</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小数除法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小数除以整数（计算法则的归纳）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小数除以整数（被除数添0再除与商的个位是0的除法）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除数是整数的小数除法计算方法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应用例题（除数是整数的小数除法的应用）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小数除以小数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除数是一位小数的计算方法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应用例题（除数是一位小数的除法）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除数是两位小数的计算方法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应用例题（除数是两位小数的除法）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理解小数除法的意义。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应用例题（小数除法的意义的运用）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商的近似数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小数的分类方法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应用例题（小数的分类方法的运用）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认识循环小数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循环小数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无限小数的分类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用计算器探索规律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应用例题（进一法与去尾法）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小数除法解决问题（进一法与去尾法）（一步）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掌握小数四则混合运算顺序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应用例题(小数四则混合运算的运用)</w:t>
            </w:r>
          </w:p>
        </w:tc>
      </w:tr>
      <w:tr>
        <w:tblPrEx>
          <w:tblCellMar>
            <w:top w:w="0" w:type="dxa"/>
            <w:left w:w="108" w:type="dxa"/>
            <w:bottom w:w="0" w:type="dxa"/>
            <w:right w:w="108" w:type="dxa"/>
          </w:tblCellMar>
        </w:tblPrEx>
        <w:trPr>
          <w:trHeight w:val="312"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掷一掷</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求一个数是另一个数的几分之几（一步）</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简易方程</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用字母表示数的意义和作用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应用例题讲解</w:t>
            </w:r>
          </w:p>
        </w:tc>
      </w:tr>
      <w:tr>
        <w:tblPrEx>
          <w:tblCellMar>
            <w:top w:w="0" w:type="dxa"/>
            <w:left w:w="108" w:type="dxa"/>
            <w:bottom w:w="0" w:type="dxa"/>
            <w:right w:w="108" w:type="dxa"/>
          </w:tblCellMar>
        </w:tblPrEx>
        <w:trPr>
          <w:trHeight w:val="624"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用字母表示常见的数量关系，运算定律和性质等的计算公式。</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用字母表示数的应用</w:t>
            </w:r>
          </w:p>
        </w:tc>
      </w:tr>
      <w:tr>
        <w:tblPrEx>
          <w:tblCellMar>
            <w:top w:w="0" w:type="dxa"/>
            <w:left w:w="108" w:type="dxa"/>
            <w:bottom w:w="0" w:type="dxa"/>
            <w:right w:w="108" w:type="dxa"/>
          </w:tblCellMar>
        </w:tblPrEx>
        <w:trPr>
          <w:trHeight w:val="624"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理解并掌握速度、时间、路程之间的数量关系，并会用字母表示</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应用例题运用数量关系解决实际问题</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常见的数量关系2 </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用字母表示几何形体的公式</w:t>
            </w:r>
          </w:p>
        </w:tc>
      </w:tr>
      <w:tr>
        <w:tblPrEx>
          <w:tblCellMar>
            <w:top w:w="0" w:type="dxa"/>
            <w:left w:w="108" w:type="dxa"/>
            <w:bottom w:w="0" w:type="dxa"/>
            <w:right w:w="108" w:type="dxa"/>
          </w:tblCellMar>
        </w:tblPrEx>
        <w:trPr>
          <w:trHeight w:val="624"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用字母表示出正方形、正方形的面积和周长（讲解乘方并代值计算）</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平行四边形的面积</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把数值代入公式求值</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列代数式并求值</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加法交换律：a+b=b+a</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加法结合律：(a+b)+c=a+(b+c)</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乘法交换律：ab=ba</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乘法结合律：（ab）c=a(bc)   </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用运算定律简单计算</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除法的性质：a÷(b×c)=a÷b÷c （b≠0,c≠0） </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乘法分配率：(a+b)c=ac+bc</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减法的性质：a-(b+c)=a-b-c</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方程的意义</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等式的性质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解简易方程</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应用例题（看图列方程并求解）</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列方程解问题的意义</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列方程解答问题的步骤</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列方程解问题的方法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实际问题与方程（例1，例2）</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实际问题与方程（例3，例4）</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实际问题与方程（例5：相向运动问题、鸡兔同笼问题）</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用简易方程解决问题（x+a=b）（一步）</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用简易方程解决问题（ax+b=c或ax-b=c）（两步）</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用简易方程解决问题[a(x+b)=c型或ax+bx=c型]（三步）</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用方程解决相遇问题[ax+bx=c型]（三步）</w:t>
            </w:r>
          </w:p>
        </w:tc>
      </w:tr>
      <w:tr>
        <w:tblPrEx>
          <w:tblCellMar>
            <w:top w:w="0" w:type="dxa"/>
            <w:left w:w="108" w:type="dxa"/>
            <w:bottom w:w="0" w:type="dxa"/>
            <w:right w:w="108" w:type="dxa"/>
          </w:tblCellMar>
        </w:tblPrEx>
        <w:trPr>
          <w:trHeight w:val="624"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用方程解“已知一个数的几分之几是多少，求这个数”的分数应用题。（一步，简易方程）</w:t>
            </w:r>
          </w:p>
        </w:tc>
      </w:tr>
      <w:tr>
        <w:tblPrEx>
          <w:tblCellMar>
            <w:top w:w="0" w:type="dxa"/>
            <w:left w:w="108" w:type="dxa"/>
            <w:bottom w:w="0" w:type="dxa"/>
            <w:right w:w="108" w:type="dxa"/>
          </w:tblCellMar>
        </w:tblPrEx>
        <w:trPr>
          <w:trHeight w:val="624"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用方程解“求单位‘1’的量”的分数应用题。[（a-b）x=c或ax+bx=c方程,多步]</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同时同地相背而行；</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同时同地相向而行；</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同地同向而行：快追慢，慢先行</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用方程解决行程问题</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数学广角—植树问题</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直线型植树问题（两步）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环形植树问题（一步）</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因数与倍数</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因数和倍数的概念</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找出一个数的因数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找出一个数的倍数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 数的整除的意义   </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奇数与偶数的意义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奇数与偶数运算的性质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能被2整除的数的特征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能被5整除的数的特征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能被3整除的数的特征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质数与合数的意义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100以内的质数表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分解质因数</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长方体和正方体</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体积和体积单位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体积单位间的进率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容积和容积单位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乘方的定义，了解平方，立方。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应用例题1（有关平方）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应用例题2（有关立方）</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分数的意义与性质</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分数与除法的关系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应用例题（求一个数是另一个数的几分之几的问题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带分数加减法的计算方法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应用例题（有关带分数的加减法计算）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分数的基本性质掌握小数化成分数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应用例题（分数的基本性质的应用）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比较同分母分数的大小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应用例题（比较同分母分数的大小的实际应用）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比较异分母分数的大小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应用例题（比较异分母分数的大小的实际应用）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公因数、最大公因数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应用例题（最大公因数在生活中的运用）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互质数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最简分数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约分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理解公倍数和最小公倍数的意义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应用例题1（运用最小公倍数解决实际问题）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应用例题2（求最小公倍数的方法归类）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 xml:space="preserve"> 通分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掌握小数化成分数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应用例题（有关小数化成分数的应用）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掌握分数化成小数的方法1</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应用例题（分数化成小数的应用1）</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掌握分数化成小数的方法2</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应用例题（分数化成小数的应用2）</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掌握分数化成有限与无限小数的判断方法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应用例题（分数化成有限与无限小数的应用）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分数的加法和减法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同分母分数加法的计算方法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同分母分数减法的计算方法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应用例题1（同分母分数加减法计算）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应用例题2（同分母分数加减法计算，算式中有1）</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分数加减法问题---同分母分数加减法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异分母分数加法的计算方法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应用例题（异分母分数加法计算）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异分母分数减法的计算方法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应用例题（异分母分数减法计算）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分数加减法问题---异分母分数加减法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教学分数加法的意义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教学分数减法的意义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掌握分数加减混合运算顺序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分数应用题（牛奶兑水问题）（多步）</w:t>
            </w:r>
          </w:p>
        </w:tc>
      </w:tr>
      <w:tr>
        <w:tblPrEx>
          <w:tblCellMar>
            <w:top w:w="0" w:type="dxa"/>
            <w:left w:w="108" w:type="dxa"/>
            <w:bottom w:w="0" w:type="dxa"/>
            <w:right w:w="108" w:type="dxa"/>
          </w:tblCellMar>
        </w:tblPrEx>
        <w:trPr>
          <w:trHeight w:val="525"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数学广角—找次品</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找次品（数学广角）（思维规律类）</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分数乘法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分数乘整数的意义</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应用例题（分数乘整数意义的运用）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分数除以整数的计算方法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应用例题（分数除以整数的计算）</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一个数乘分数的意义</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应用例题（一个数乘分数的意义的运用）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分数乘整数的计算方法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应用例题（有关分数乘整数的计算）</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分数乘分数的计算方法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应用例题（有关分数乘分数的计算）</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求一个数的几分之几是多少（一步）</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分数连乘应用题（两步）</w:t>
            </w:r>
          </w:p>
        </w:tc>
      </w:tr>
      <w:tr>
        <w:tblPrEx>
          <w:tblCellMar>
            <w:top w:w="0" w:type="dxa"/>
            <w:left w:w="108" w:type="dxa"/>
            <w:bottom w:w="0" w:type="dxa"/>
            <w:right w:w="108" w:type="dxa"/>
          </w:tblCellMar>
        </w:tblPrEx>
        <w:trPr>
          <w:trHeight w:val="624"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甲比乙多几分之几，已知乙，求甲；甲比乙少几分之几，已知乙，求甲。（乘加，两步）</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理解和掌握整数╳分数问题的解决方法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理解和掌握小数╳分数问题的解决方法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应用例题小数╳分数的应用</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理解和掌握（一个数╳[1+几分之几]）问题的解决方法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应用例题（一个数╳[1+几分之几]）的应用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分数除法</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理解倒数的意义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掌握求一个整数倒数的方法。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掌握求一个真分数倒数的方法。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掌握求一个假分数倒数的方法。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应用例题1（求整数倒数的运用）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应用例题2（求真分数倒数的运用）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应用例题2（求假分数倒数的运用）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理解分数除法的意义。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应用例题（分数除法的意义的运用）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一个数除以分数的计算方法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应用例题（有关一个数除以分数的计算）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应用例题(分数乘除混合运算顺序的运用)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分数除法应用题。（一步）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用乘除解分数应用题。（两步）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工程问题。（两步）</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理解和掌握一个数是另一个数的几分之几的问题的解决方法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应用例题求一个数是另一个数的几分之几的应用</w:t>
            </w:r>
          </w:p>
        </w:tc>
      </w:tr>
      <w:tr>
        <w:tblPrEx>
          <w:tblCellMar>
            <w:top w:w="0" w:type="dxa"/>
            <w:left w:w="108" w:type="dxa"/>
            <w:bottom w:w="0" w:type="dxa"/>
            <w:right w:w="108" w:type="dxa"/>
          </w:tblCellMar>
        </w:tblPrEx>
        <w:trPr>
          <w:trHeight w:val="624"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理解和掌握甲比乙多几分之几或乙比甲少几分之几的问题的解决方法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应用例题甲比乙多几分之几或乙比甲少几分之几的应用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分数除法问题2</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分数除法应用题（一步）</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比</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按比例分配（多步）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比与除法、分数的关系，求比值</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比的基本性质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理解比的意义和比的各部分名称</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百分数（一）</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百分数的意义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教学分数的写法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教学百分数的读法和写法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应用例题（百分数的读法和写法的实际应用）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掌握小数化成百分数的方法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课题例题（有关小数化成百分数）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掌握百分数化成小数的方法1（去掉百分号）</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应用例题（有关百分数化成小数的应用1）</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掌握分数化成百分数的方法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应用例题（分数化成百分数的应用）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掌握百分数化成小数的方法2（先化成分数）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应用例题百分数化成小数的应用2</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常见百分率及相关问题（一步）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增加百分之几、减少百分之几（两步）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连续涨价、降价问题（多步）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命中率、出勤率、发芽率（一步）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求一个数的百分之几是多少（一步）</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负数</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正数、负数的意义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数轴（用数轴上的点表示数）</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百分数（二）</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折扣问题（两步）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打折销售问题（最省钱）（两步）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成数问题（两步）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税率</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纳税问题（一步）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利率问题（多步）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利率</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比例</w:t>
            </w: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比例的意义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比例的性质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解比例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正比例的意义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应用例题：成正比例量的判定：</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应用例题：正比例图像的教学</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反比例的意义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应用例题：成反比例的判定</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应用例题：反比例图像的教学</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比例尺</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比例尺的意义和分类（线段比例尺和数值比例尺）</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应用例题（根据比例尺画图）</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图形的放大和缩小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用比例解决问题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用比例解决问题（两步）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按比例分配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求比值和化简比</w:t>
            </w:r>
          </w:p>
        </w:tc>
      </w:tr>
      <w:tr>
        <w:tblPrEx>
          <w:tblCellMar>
            <w:top w:w="0" w:type="dxa"/>
            <w:left w:w="108" w:type="dxa"/>
            <w:bottom w:w="0" w:type="dxa"/>
            <w:right w:w="108" w:type="dxa"/>
          </w:tblCellMar>
        </w:tblPrEx>
        <w:trPr>
          <w:trHeight w:val="312" w:hRule="atLeast"/>
        </w:trPr>
        <w:tc>
          <w:tcPr>
            <w:tcW w:w="206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自行车里的数学</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自行车里的数学（综合实践活动）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数学广角--鸽巢问题</w:t>
            </w: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鸽巢原理1</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鸽巢原理2</w:t>
            </w:r>
          </w:p>
        </w:tc>
      </w:tr>
      <w:tr>
        <w:tblPrEx>
          <w:tblCellMar>
            <w:top w:w="0" w:type="dxa"/>
            <w:left w:w="108" w:type="dxa"/>
            <w:bottom w:w="0" w:type="dxa"/>
            <w:right w:w="108" w:type="dxa"/>
          </w:tblCellMar>
        </w:tblPrEx>
        <w:trPr>
          <w:trHeight w:val="480" w:hRule="atLeast"/>
        </w:trPr>
        <w:tc>
          <w:tcPr>
            <w:tcW w:w="8240" w:type="dxa"/>
            <w:gridSpan w:val="2"/>
            <w:tcBorders>
              <w:top w:val="nil"/>
              <w:left w:val="nil"/>
              <w:bottom w:val="nil"/>
              <w:right w:val="nil"/>
            </w:tcBorders>
            <w:shd w:val="clear" w:color="auto" w:fill="auto"/>
            <w:noWrap/>
            <w:vAlign w:val="center"/>
          </w:tcPr>
          <w:p>
            <w:pPr>
              <w:widowControl/>
              <w:jc w:val="left"/>
              <w:rPr>
                <w:rFonts w:ascii="宋体" w:hAnsi="宋体" w:cs="宋体"/>
                <w:b/>
                <w:bCs/>
                <w:color w:val="000000"/>
                <w:kern w:val="0"/>
                <w:sz w:val="28"/>
                <w:szCs w:val="28"/>
              </w:rPr>
            </w:pPr>
            <w:r>
              <w:rPr>
                <w:rFonts w:hint="eastAsia" w:ascii="宋体" w:hAnsi="宋体" w:cs="宋体"/>
                <w:b/>
                <w:bCs/>
                <w:color w:val="000000"/>
                <w:kern w:val="0"/>
                <w:sz w:val="28"/>
                <w:szCs w:val="28"/>
                <w:lang w:val="en-US" w:eastAsia="zh-CN"/>
              </w:rPr>
              <w:t>三、</w:t>
            </w:r>
            <w:r>
              <w:rPr>
                <w:rFonts w:hint="eastAsia" w:ascii="宋体" w:hAnsi="宋体" w:cs="宋体"/>
                <w:b/>
                <w:bCs/>
                <w:color w:val="000000"/>
                <w:kern w:val="0"/>
                <w:sz w:val="28"/>
                <w:szCs w:val="28"/>
              </w:rPr>
              <w:t>驻马店市小学英语动漫微课目录</w:t>
            </w:r>
          </w:p>
        </w:tc>
      </w:tr>
      <w:tr>
        <w:tblPrEx>
          <w:tblCellMar>
            <w:top w:w="0" w:type="dxa"/>
            <w:left w:w="108" w:type="dxa"/>
            <w:bottom w:w="0" w:type="dxa"/>
            <w:right w:w="108" w:type="dxa"/>
          </w:tblCellMar>
        </w:tblPrEx>
        <w:trPr>
          <w:trHeight w:val="348" w:hRule="atLeast"/>
        </w:trPr>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课程分类</w:t>
            </w:r>
          </w:p>
        </w:tc>
        <w:tc>
          <w:tcPr>
            <w:tcW w:w="61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课程名称</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A</w:t>
            </w:r>
          </w:p>
        </w:tc>
        <w:tc>
          <w:tcPr>
            <w:tcW w:w="6180"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 few和a little的用法区别</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all right</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active</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among</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and</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angry</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answer the phone</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April</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August</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a和an的用法区别</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B</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balloon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baseball player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bathroom</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beautiful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because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become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bed table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behind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best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better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bigger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black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bored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bounce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bread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brother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brown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building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but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buy</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C</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can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catch butterflies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cheap</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chicken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Chinese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chopsticks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cinema</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class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classmate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clean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clean the bedroom</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clean the room</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climb</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close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closet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clothes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cloudy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coffee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cold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collect insects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collect leaves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collect stamps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colorful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colour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come from</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cook dinner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cook the meals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cool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count insects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curtain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cute</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D</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dance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December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deer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do an experiment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do housework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do morning exercise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do the dishes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draw pictures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drink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drink water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drive</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E</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east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eat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eat breakfast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eat dinner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eggplant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either和neither的用法区别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eleven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empty the trash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English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evening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excited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expensive</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F</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face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fall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family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fat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father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favourite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February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feed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feel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fifteen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fight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find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finger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first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fly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fly kites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fold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football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forest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French fries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fresh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Friday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fridge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from和from ...to…的用法区别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funny</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G</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get off</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get to</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get up</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giraffe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 hiking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 home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 ice skating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 shopping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 skiing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 to bed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 to school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 to the cinema</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good idea</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good job</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grape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great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green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guess</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H</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hamburger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hang up</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happy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have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have a cold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have a fever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have a headache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have a look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have a picnic</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have a sore throat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have a toothache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have English class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healthy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heavier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heavy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help</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help yourself</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helpful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here you are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high和higher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hobby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honey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hospital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hot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how</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how many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how much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How much is it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hungry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hurt</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I</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ill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介词短语in front of的用法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介词into和out of的区别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代词it的基本用法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J</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jacket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January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juicy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July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jump</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June</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K</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kangaroo</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kick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kind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kitchen</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L</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last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learn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leave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left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let’s=let us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library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like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listen to music</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little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little和few的用法区别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live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living room</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long hair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long和longer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look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look at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love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lovely</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M</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make a snowman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make kites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make the bed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March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math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matter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May 五月</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meet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milk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mirror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Monday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mouse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much和 many的用法区别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music</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N</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new</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nice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north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November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nurse</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O</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October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often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old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older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one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only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open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orange</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P</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paint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painting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pass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pencil-case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people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pick up leaves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picture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pink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plant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plant trees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play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play chess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play computer games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play sports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play the piano</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play the violin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please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pretty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purple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put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put away the clothes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put on</w:t>
            </w:r>
          </w:p>
        </w:tc>
      </w:tr>
      <w:tr>
        <w:tblPrEx>
          <w:tblCellMar>
            <w:top w:w="0" w:type="dxa"/>
            <w:left w:w="108" w:type="dxa"/>
            <w:bottom w:w="0" w:type="dxa"/>
            <w:right w:w="108" w:type="dxa"/>
          </w:tblCellMar>
        </w:tblPrEx>
        <w:trPr>
          <w:trHeight w:val="312" w:hRule="atLeast"/>
        </w:trPr>
        <w:tc>
          <w:tcPr>
            <w:tcW w:w="2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Q</w:t>
            </w:r>
          </w:p>
        </w:tc>
        <w:tc>
          <w:tcPr>
            <w:tcW w:w="6180"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quiet</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R</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rainy</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read</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read a book</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read a magazine</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ready</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really</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ride</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ride a bike</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right</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row</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run</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S</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sad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salesperson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salty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Saturday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science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season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second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send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September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set the table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sharpener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shear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shine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short和shorter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should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show</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sick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sing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skate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sleep</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smaller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smart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smell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snowy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some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some 和 any的用法区别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sometimes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sore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sour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south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spring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squirrel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stop</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straight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strawberry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strict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strong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study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summer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Sunday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sunny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sweep the floor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sweet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swim</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swing</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T</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take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take a trip</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take off</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take pictures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tall和taller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taste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tasty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teach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tell</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tender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thank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then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there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there be 句型专题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they are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thin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think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thinner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third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thirteen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thirty-one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three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Thursday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tired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today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tofu</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too many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traffic</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traffic rule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trash bin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try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Tuesday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turn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twelve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twenty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two</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U</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use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use a computer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usually</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V</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vegetable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very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visit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visit grandparents</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W</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wait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wake up</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walk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warm</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wash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wash the clothes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watch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watch insects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watch TV</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water the flowers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wear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weather report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Wednesday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weekend</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welcome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west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what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what is…</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when</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where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which</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white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why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windy</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winter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work</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write</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write a letter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write a report</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write an E-mail</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Y</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young</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your</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yummy</w:t>
            </w:r>
          </w:p>
        </w:tc>
      </w:tr>
      <w:tr>
        <w:tblPrEx>
          <w:tblCellMar>
            <w:top w:w="0" w:type="dxa"/>
            <w:left w:w="108" w:type="dxa"/>
            <w:bottom w:w="0" w:type="dxa"/>
            <w:right w:w="108" w:type="dxa"/>
          </w:tblCellMar>
        </w:tblPrEx>
        <w:trPr>
          <w:trHeight w:val="285"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常见介词的用法</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介词about的用法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介词after和before的用法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介词against的用法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介词as的用法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介词at 、about 和around的用法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介词at的用法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介词between的用法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介词both和all的用法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介词by的用法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介词during的用法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介词in的用法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介词like的用法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介词near的用法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介词of的用法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介词on,over,above的用法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介词since的用法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介词under和 below用法区别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介词until的用法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介词up和down的用法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介词within的用法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介词without的用法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介词with的用法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介词for的用法</w:t>
            </w:r>
          </w:p>
        </w:tc>
      </w:tr>
      <w:tr>
        <w:tblPrEx>
          <w:tblCellMar>
            <w:top w:w="0" w:type="dxa"/>
            <w:left w:w="108" w:type="dxa"/>
            <w:bottom w:w="0" w:type="dxa"/>
            <w:right w:w="108" w:type="dxa"/>
          </w:tblCellMar>
        </w:tblPrEx>
        <w:trPr>
          <w:trHeight w:val="285"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介词next</w:t>
            </w:r>
            <w:r>
              <w:rPr>
                <w:rFonts w:hint="eastAsia" w:ascii="等线" w:hAnsi="等线" w:eastAsia="等线" w:cs="宋体"/>
                <w:color w:val="000000"/>
                <w:kern w:val="0"/>
                <w:sz w:val="22"/>
                <w:szCs w:val="22"/>
              </w:rPr>
              <w:t xml:space="preserve"> to的用法</w:t>
            </w:r>
          </w:p>
        </w:tc>
      </w:tr>
      <w:tr>
        <w:tblPrEx>
          <w:tblCellMar>
            <w:top w:w="0" w:type="dxa"/>
            <w:left w:w="108" w:type="dxa"/>
            <w:bottom w:w="0" w:type="dxa"/>
            <w:right w:w="108" w:type="dxa"/>
          </w:tblCellMar>
        </w:tblPrEx>
        <w:trPr>
          <w:trHeight w:val="285" w:hRule="atLeast"/>
        </w:trPr>
        <w:tc>
          <w:tcPr>
            <w:tcW w:w="2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时间的表示方法</w:t>
            </w:r>
          </w:p>
        </w:tc>
        <w:tc>
          <w:tcPr>
            <w:tcW w:w="6180"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时间的表示方法</w:t>
            </w:r>
          </w:p>
        </w:tc>
      </w:tr>
      <w:tr>
        <w:tblPrEx>
          <w:tblCellMar>
            <w:top w:w="0" w:type="dxa"/>
            <w:left w:w="108" w:type="dxa"/>
            <w:bottom w:w="0" w:type="dxa"/>
            <w:right w:w="108" w:type="dxa"/>
          </w:tblCellMar>
        </w:tblPrEx>
        <w:trPr>
          <w:trHeight w:val="285" w:hRule="atLeast"/>
        </w:trPr>
        <w:tc>
          <w:tcPr>
            <w:tcW w:w="20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小数和百分数的表示</w:t>
            </w:r>
          </w:p>
        </w:tc>
        <w:tc>
          <w:tcPr>
            <w:tcW w:w="6180"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小数和百分数的表示</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时态</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现在进行时</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一般过去时</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一般将来时</w:t>
            </w:r>
          </w:p>
        </w:tc>
      </w:tr>
      <w:tr>
        <w:tblPrEx>
          <w:tblCellMar>
            <w:top w:w="0" w:type="dxa"/>
            <w:left w:w="108" w:type="dxa"/>
            <w:bottom w:w="0" w:type="dxa"/>
            <w:right w:w="108" w:type="dxa"/>
          </w:tblCellMar>
        </w:tblPrEx>
        <w:trPr>
          <w:trHeight w:val="285" w:hRule="atLeast"/>
        </w:trPr>
        <w:tc>
          <w:tcPr>
            <w:tcW w:w="20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动词的基本形式</w:t>
            </w:r>
          </w:p>
        </w:tc>
        <w:tc>
          <w:tcPr>
            <w:tcW w:w="6180"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动词的基本形式</w:t>
            </w:r>
          </w:p>
        </w:tc>
      </w:tr>
      <w:tr>
        <w:tblPrEx>
          <w:tblCellMar>
            <w:top w:w="0" w:type="dxa"/>
            <w:left w:w="108" w:type="dxa"/>
            <w:bottom w:w="0" w:type="dxa"/>
            <w:right w:w="108" w:type="dxa"/>
          </w:tblCellMar>
        </w:tblPrEx>
        <w:trPr>
          <w:trHeight w:val="285" w:hRule="atLeast"/>
        </w:trPr>
        <w:tc>
          <w:tcPr>
            <w:tcW w:w="20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分数与倍数的表示</w:t>
            </w:r>
          </w:p>
        </w:tc>
        <w:tc>
          <w:tcPr>
            <w:tcW w:w="6180"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分数与倍数的表示</w:t>
            </w:r>
          </w:p>
        </w:tc>
      </w:tr>
      <w:tr>
        <w:tblPrEx>
          <w:tblCellMar>
            <w:top w:w="0" w:type="dxa"/>
            <w:left w:w="108" w:type="dxa"/>
            <w:bottom w:w="0" w:type="dxa"/>
            <w:right w:w="108" w:type="dxa"/>
          </w:tblCellMar>
        </w:tblPrEx>
        <w:trPr>
          <w:trHeight w:val="285" w:hRule="atLeast"/>
        </w:trPr>
        <w:tc>
          <w:tcPr>
            <w:tcW w:w="20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货币的表示方法</w:t>
            </w:r>
          </w:p>
        </w:tc>
        <w:tc>
          <w:tcPr>
            <w:tcW w:w="6180" w:type="dxa"/>
            <w:tcBorders>
              <w:top w:val="nil"/>
              <w:left w:val="nil"/>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货币的表示方法</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名词</w:t>
            </w: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名词复数的变化规则</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名词所有格</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bottom"/>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专有名词和普通名词的区别</w:t>
            </w:r>
          </w:p>
        </w:tc>
      </w:tr>
      <w:tr>
        <w:tblPrEx>
          <w:tblCellMar>
            <w:top w:w="0" w:type="dxa"/>
            <w:left w:w="108" w:type="dxa"/>
            <w:bottom w:w="0" w:type="dxa"/>
            <w:right w:w="108" w:type="dxa"/>
          </w:tblCellMar>
        </w:tblPrEx>
        <w:trPr>
          <w:trHeight w:val="420" w:hRule="atLeast"/>
        </w:trPr>
        <w:tc>
          <w:tcPr>
            <w:tcW w:w="8240" w:type="dxa"/>
            <w:gridSpan w:val="2"/>
            <w:tcBorders>
              <w:top w:val="nil"/>
              <w:left w:val="nil"/>
              <w:bottom w:val="nil"/>
              <w:right w:val="nil"/>
            </w:tcBorders>
            <w:shd w:val="clear" w:color="auto" w:fill="auto"/>
            <w:noWrap/>
            <w:vAlign w:val="center"/>
          </w:tcPr>
          <w:p>
            <w:pPr>
              <w:widowControl/>
              <w:jc w:val="left"/>
              <w:rPr>
                <w:rFonts w:ascii="等线 Light" w:hAnsi="等线 Light" w:eastAsia="等线 Light" w:cs="宋体"/>
                <w:b/>
                <w:bCs/>
                <w:color w:val="000000"/>
                <w:kern w:val="0"/>
                <w:sz w:val="28"/>
                <w:szCs w:val="28"/>
              </w:rPr>
            </w:pPr>
            <w:r>
              <w:rPr>
                <w:rFonts w:hint="eastAsia" w:ascii="等线 Light" w:hAnsi="等线 Light" w:eastAsia="等线 Light" w:cs="宋体"/>
                <w:b/>
                <w:bCs/>
                <w:color w:val="000000"/>
                <w:kern w:val="0"/>
                <w:sz w:val="28"/>
                <w:szCs w:val="28"/>
                <w:lang w:val="en-US" w:eastAsia="zh-CN"/>
              </w:rPr>
              <w:t>四、</w:t>
            </w:r>
            <w:r>
              <w:rPr>
                <w:rFonts w:hint="eastAsia" w:ascii="等线 Light" w:hAnsi="等线 Light" w:eastAsia="等线 Light" w:cs="宋体"/>
                <w:b/>
                <w:bCs/>
                <w:color w:val="000000"/>
                <w:kern w:val="0"/>
                <w:sz w:val="28"/>
                <w:szCs w:val="28"/>
              </w:rPr>
              <w:t>驻马店市小学科学动漫微课目录</w:t>
            </w:r>
          </w:p>
        </w:tc>
      </w:tr>
      <w:tr>
        <w:tblPrEx>
          <w:tblCellMar>
            <w:top w:w="0" w:type="dxa"/>
            <w:left w:w="108" w:type="dxa"/>
            <w:bottom w:w="0" w:type="dxa"/>
            <w:right w:w="108" w:type="dxa"/>
          </w:tblCellMar>
        </w:tblPrEx>
        <w:trPr>
          <w:trHeight w:val="348" w:hRule="atLeast"/>
        </w:trPr>
        <w:tc>
          <w:tcPr>
            <w:tcW w:w="20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课程分类</w:t>
            </w:r>
          </w:p>
        </w:tc>
        <w:tc>
          <w:tcPr>
            <w:tcW w:w="618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szCs w:val="24"/>
              </w:rPr>
            </w:pPr>
            <w:r>
              <w:rPr>
                <w:rFonts w:hint="eastAsia" w:ascii="仿宋" w:hAnsi="仿宋" w:eastAsia="仿宋" w:cs="宋体"/>
                <w:b/>
                <w:bCs/>
                <w:color w:val="000000"/>
                <w:kern w:val="0"/>
                <w:sz w:val="24"/>
                <w:szCs w:val="24"/>
              </w:rPr>
              <w:t>课程名称</w:t>
            </w:r>
          </w:p>
        </w:tc>
      </w:tr>
      <w:tr>
        <w:tblPrEx>
          <w:tblCellMar>
            <w:top w:w="0" w:type="dxa"/>
            <w:left w:w="108" w:type="dxa"/>
            <w:bottom w:w="0" w:type="dxa"/>
            <w:right w:w="108" w:type="dxa"/>
          </w:tblCellMar>
        </w:tblPrEx>
        <w:trPr>
          <w:trHeight w:val="312" w:hRule="atLeast"/>
        </w:trPr>
        <w:tc>
          <w:tcPr>
            <w:tcW w:w="20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植物</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科学观察的基本方法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大树的描述方法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大树和小草的主要不同之处</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大树和小草的共同点</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水葫芦漂浮的原因</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水生陆生植物的特性</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水生植物的种类</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水葫芦和狗尾草的相同点</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植物叶子的组成</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树叶的生命历程</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植物的生长过程</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比较树叶大小、记录植物变化的方法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植物的分类</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植物的生存条件</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植物的生命周期</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植物的共同特征</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向日葵的典型生长阶段</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环境对动物多样性的影响</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观察蜗牛的方法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蜗牛的腹足</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蜗牛、蚯蚓的生活环境</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蚯蚓身体的构成</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蜗牛和蚯蚓的相同点</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蚂蚁的身体构成</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蚂蚁的生活环境</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蚂蚁的特点</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金鱼的特点</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蚂蚁和金鱼的相同点</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不同动物的应险方法</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动物个体形态和生活环境的关系</w:t>
            </w:r>
          </w:p>
        </w:tc>
      </w:tr>
      <w:tr>
        <w:tblPrEx>
          <w:tblCellMar>
            <w:top w:w="0" w:type="dxa"/>
            <w:left w:w="108" w:type="dxa"/>
            <w:bottom w:w="0" w:type="dxa"/>
            <w:right w:w="108" w:type="dxa"/>
          </w:tblCellMar>
        </w:tblPrEx>
        <w:trPr>
          <w:trHeight w:val="312" w:hRule="atLeast"/>
        </w:trPr>
        <w:tc>
          <w:tcPr>
            <w:tcW w:w="206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动物的共同特点</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我们周围的材料</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物体的材料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常见的材料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用适当的词语描述木头</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金属的特性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物体的物理性质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塑料的特性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不同材料的沉浮</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木头的特性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砖瓦陶瓷的主要用途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陶瓷的制造材料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材料的分类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合理使用材料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物体的分类</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水和空气</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水的特性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地表水的面积</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水的三种状态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水是生命的源泉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水的用途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水和食用油的比较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液体的流动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液体的体积</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液体体积的单位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空气是什么</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空气和水的对比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空气的压缩和流动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植物的生长变化</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植物的生命历程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植物的繁殖</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不同种子的差别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播种植物的注意点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种子的萌发和生长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凤仙花的叶子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植物叶子和茎的颜色</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绿叶的作用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光合作用的过程和文字公式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凤仙花的果实</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开花植物的组成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凤仙花的花</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凤仙花的主要生长过程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植物的茎</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动物的生命周期</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动物的生命周期</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蚕的生命</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小蚕的生活环境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蚕的蜕变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蚕的身体特征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蚕吐丝前后的变化</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蛹的组成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蚕蛾的身体特征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蚕的生命形态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影响蚕生存的条件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蚕的生长阶段和生命周期</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动物的变态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动物的分类方法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人和动物的生命周期</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温度与水的变化</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物体冷热程度与温度计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温度的单位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测量水温的注意事项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水的沸点和凝固点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物体温度与热量的关系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水和冰的相同点与不同点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加快冰的融化的方法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制造更低温度的方法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蒸发和凝结(水的蒸发和沸腾)</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大气中水的不同形态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热胀冷缩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水的三态循环</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水的凝结</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影响水蒸发快慢的因素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积水蒸发</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空气中的水蒸气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冰中加盐的反应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体温计的用途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温度计的读数方法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磁铁</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磁铁的定义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磁铁的形状和用途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磁铁的磁极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磁铁的同极和异极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铁制品的辨认</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磁铁的磁力大小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磁力的增强和减弱</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指南针</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最早的指南针</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用指南针定方向的方法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磁力的应用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磁铁的性质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天气</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天气变化对地球生物的影响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天气的定义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天气的描述方法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天气日历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天气日历的记录内容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天气观察的要求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温度计的使用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气温的定义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气温测量的要求</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风的感知和描述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风向和风向的测量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风速的计算和风速仪</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降水和降水量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降水的形式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雨量器的使用原理与简单制作</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大气中的云</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云量和天气的关系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不同天气状况的划分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云的分类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层云的出现和影响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积云的出现和影响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卷云的形成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天气信息的重要性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天气变化与气候特点</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溶解</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溶解的特征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过滤实验中的器材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过滤实验三注意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高锰酸钾的使用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观察和区别“物质在水中是否溶解”的方法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物体的溶解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不同的物质在水中的溶解能力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气体的溶解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加速溶解的方法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食盐溶解量的限度</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水中食盐的分解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分离食盐和水的材料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酒精灯的火焰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酒精灯点燃与熄灭的注意事项</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声音</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声音的不同特点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音叉的定义和作用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不同大小音叉的发音差别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什么是振动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物体振动产生声音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声音强弱和高低的描述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物体振动幅度与音量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物体振动频率与音高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声音的传播方式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声音在不同物体中传播</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空气与声音传播</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月球上不能传播声音的原因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耳朵的结构与工作原理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鼓膜的振动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声音传入耳朵的原理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呵护耳朵、保护健康</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噪音对人的伤害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保护听力的方法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我们的身体</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人的身体组成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身体的工作机制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人体特点的观察方法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骨骼的重要性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运动形式对人体组成形式的影响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体育锻炼对身体的好处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人的呼吸器官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人的呼吸原理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运动时呼吸加快的原因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呼吸能力的提高方法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什么是肺活量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氧气在人体中的作用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心脏的心肌收缩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运动时心跳加快的原因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人体的消化器官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食物的消化</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口腔的作用与牙齿分类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细嚼慢咽的道理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牙齿对消化的影响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器官的协同工作</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人体活动的能量来源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爱护我们的消化器官</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电</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电与电的种类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日常生活中的电</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电的分类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电流的环路</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短路、通路和断路</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电路的定义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导体、绝缘体的定义和分类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导体和绝缘体的用途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开关的材料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电池的串联和并联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灯泡的串联和并联</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新的生命</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普通油菜花的组成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不同植物花的分类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植物繁殖新生命的主要过程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不同植物的果实和种子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种子散播的方式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蚕豆的种子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动植物繁殖的相似点</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食物</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食物的分类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人体所需要的营养来源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膳食营养原则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食物的生吃与熟吃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霉菌的生长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食物变质与食物储存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了解食物的方法和重要性</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岩石和矿物</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岩石的特点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岩石的分类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岩石的组成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岩石的光泽与矿物的软硬</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资源的保护和利用</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生物与环境</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种子发芽的条件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阳光对种子的影响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植物生长需要的环境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蚯蚓的生活习性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各种动物对生活环境的喜好</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生物的生存条件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食物对动物生存的重要性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什么是食物链</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食物链中的生产者与消费者</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食物链的起止</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食物网的形成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生态群落的形成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生态系统的形成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生态系统的失衡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环境条件对生物生存的影响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食物链的写法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光</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什么是光源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什么是投影</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影子的形成条件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影子的长短、方向与光源的关系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影子的大小与光源的关系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影子的形状与光源的关系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古代的计时方法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影子长短与太阳位置的关系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光的直线传播</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光的反射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反射的应用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瞳孔对入射光线的控制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光源的发光与发热</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汇聚太阳光的方法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人们对太阳能的利用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太阳的温度</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物体的吸热能力</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地球表面及其变化</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地形及地形的特点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地球的地形分布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地震和火山的形成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地表形态的变化</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高山峡谷的形成原因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岩石变化的原因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什么是风化</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土壤的组成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土壤的价值</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什么是侵蚀</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影响土壤侵蚀程度的因素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坡度大小与侵蚀、沉积</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侵蚀和沉积的作用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什么侵蚀了土地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房屋建造的坡度原理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减少土地侵蚀的方法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运动和力</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什么是重力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拉力的作用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什么是弹力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弹力的应用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反冲力和反冲力的应用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对物体用力与物体的运动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力的单位与弹簧测力计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使用弹簧测力计测重力的注意事项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什么是摩擦力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摩擦力的测量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影响摩擦力的因素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滚动和滑动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滚动与滑动的摩擦力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摩擦力的存在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自行车上的摩擦力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赛车的设计特点</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沉和浮</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同一材料物体的沉浮</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影响物体沉浮的因素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沉浮作用在潜水艇中的作用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什么是排开的水量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铁块与轮船的沉浮原因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物体形状对浮力的影响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什么是水的浮力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浮力和重力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物体排开的水量对浮力的影响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物体的沉浮与水的重量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物体的沉浮与液体的重量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物体上浮或下沉受到的浮力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什么是比重计</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热</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保暖的方法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衣服让身体热起来的原因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空气的热胀冷缩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金属的热胀冷缩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热是怎样传递的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不同物体的传热性能</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时间的测量</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时间流逝的快慢</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古代的太阳钟</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用水测量时间</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摆的研究</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地球的运动</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昼夜交替现象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人类认识地球及其运动的历史</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证明地球在自转</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谁先迎来黎明</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北极星不动的秘密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地球在公转吗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为什么一年有四季</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极昼极夜现象的解释</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工具和机械</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什么是机械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简单机械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不同的工具有不同的用途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什么是杠杆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杠杆的三个重要位置</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杠杆的阻力点与支点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杠杆尺的支点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让杠杆尺平衡的方法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省力工具和费力工具</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省力杠杆和费力杠杆的应用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为什么“秤砣虽小，能压千斤”</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身体上的杠杆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阿基米德的杠杆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什么是轮轴</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轮轴用力的省力与费力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轮的大小影响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扳手的轮轴应用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生活中的轮轴</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什么是定滑轮</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什么是动滑轮</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动滑轮的作用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滑轮组的构成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最简单的滑轮组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起重机中的滑轮组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什么是斜面</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斜面的省力效果</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生活中斜面的应用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螺丝钉中的斜面变形</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斜面坡度对省力多少有影响吗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自行车上的简单机械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自行车齿轮的转动快慢与大小</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形状与结构</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为什么要提高横梁的抗弯曲能力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提高材料抗弯曲能力的方法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纸的厚度、宽度对抗弯曲能力的影响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形状与抗弯曲能力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横梁为什么要立着放</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为什么瓦楞纸板的结构让软纸变硬</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拱形怎样承载力量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拱怎样承载更大的力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圆顶形承重的优势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球形承重的优势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塑料瓶的结构原理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人体结构的巧妙</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生活中的拱形</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空心的原理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桥的形状和结构</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能量</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磁性的产生</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奥斯特的发现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短路时为什么断开电池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为什么电线圈要立着放</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什么是电磁铁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影响磁极的因素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电磁铁与磁铁的比较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怎样改变电磁铁的磁力大小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科学探究中探究的顺序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能量的不同形式</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电能从哪里来</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能量和太阳</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生物的多样性</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生物的种类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分区域观察研究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调查校园中动植物的注意事项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不同校园动植物的生活环境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我国的珍稀植物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我国的珍稀动物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分类方法的重要性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分类标准有哪些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开花植物和不开花植物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开花植物的规模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不开花植物的生长</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不开花植物有哪些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开花植物有哪些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有脊椎动物和无脊椎动物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动物的分类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动物分类的重要标准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动物王国中的昆虫</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脊椎动物的分类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相貌各异的我们</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植物叶子的功能</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不同环境中动物的形态结构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水生植物与陆生植物的根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生物的形态结构、生活环境与生活习性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青蛙的伪装</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气温对生物形态结构的影响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环境对生物形态结构的影响</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大自然的选择与人工选择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动物体型与降温速度的关系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生物多样性的意义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生物多样性必不可少</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人类离不开生物多样性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生物多样性对人类的价值</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生物离不开生物多样性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保护家乡生物多样性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我们都是平等的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人类生活离不开植物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生物多样性资料库</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微小世界</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放大镜</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放大镜的应用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放大镜的特点与制作方法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放大镜的正确使用方法与原理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人类最早使用的凸透镜</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神奇的苍蝇脚</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昆虫的触角</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蟋蟀的耳朵和蝴蝶的翅膀</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什么是晶体</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矿物晶体</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晶体的分布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显微镜的产生</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第一个看到细胞的人</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显微镜的组成与使用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生命体由细胞组成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细胞学说</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生命体细胞的功能</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培养微小生物的方法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我们知道的微生物</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叶绿体的作用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巴斯德的发现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电视机屏幕三原色</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蚜虫的特征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微生物的发现与利用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人类探索微小世界的过程与成果</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物质的变化</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世界的构成</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物理变化与化学变化</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物质混合一定产生新物质吗</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二氧化碳的产生和特性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米饭为什么变甜</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检验食物中淀粉含量的方法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化学变化的重要特征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化学变化的伴随现象</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物质变化有哪些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铁片和铁锈的对比</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物理变化有哪些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二氧化碳的特征</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哪些食物含有淀粉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防止、减缓铁制品生锈速度的方法</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宇宙</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了解月球</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第一个踏上月球的人</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月球环形山的形状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月球环形山形成原因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月球的运转方向</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月球为什么是亮的</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什么是月相</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月相的别称</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月相的变化规律</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日食和月食</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了解太阳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太阳的温度</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了解太阳系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什么是星座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大熊星座与小熊星座</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“夏季大三角”</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了解银河系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光速与光年</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什么是河外星系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恒星的一生</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我国的航天成就</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日食成因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月食成因</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月食与日食的发生机会</w:t>
            </w:r>
          </w:p>
        </w:tc>
      </w:tr>
      <w:tr>
        <w:tblPrEx>
          <w:tblCellMar>
            <w:top w:w="0" w:type="dxa"/>
            <w:left w:w="108" w:type="dxa"/>
            <w:bottom w:w="0" w:type="dxa"/>
            <w:right w:w="108" w:type="dxa"/>
          </w:tblCellMar>
        </w:tblPrEx>
        <w:trPr>
          <w:trHeight w:val="312" w:hRule="atLeast"/>
        </w:trPr>
        <w:tc>
          <w:tcPr>
            <w:tcW w:w="206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环境和我们</w:t>
            </w: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处理垃圾的方法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简单的垃圾填埋对环境的危害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建设科学的填埋场</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解决垃圾问题的办法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过度包装与滥用塑料袋的危害</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重新使用的意义</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垃圾的分类</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垃圾的细分</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有效地回收垃圾</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了解堆肥法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我国水资源现状</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什么造成了水污染</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自来水的来源与利用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污水的处理方法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保护生物多样性的有效方法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填埋和焚烧的优缺点</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垃圾填埋场各部分的作用</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有害气体有哪些</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减少垃圾的方法</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全球面临的环境问题</w:t>
            </w:r>
          </w:p>
        </w:tc>
      </w:tr>
      <w:tr>
        <w:tblPrEx>
          <w:tblCellMar>
            <w:top w:w="0" w:type="dxa"/>
            <w:left w:w="108" w:type="dxa"/>
            <w:bottom w:w="0" w:type="dxa"/>
            <w:right w:w="108" w:type="dxa"/>
          </w:tblCellMar>
        </w:tblPrEx>
        <w:trPr>
          <w:trHeight w:val="312" w:hRule="atLeast"/>
        </w:trPr>
        <w:tc>
          <w:tcPr>
            <w:tcW w:w="2060" w:type="dxa"/>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宋体"/>
                <w:color w:val="000000"/>
                <w:kern w:val="0"/>
                <w:sz w:val="22"/>
                <w:szCs w:val="22"/>
              </w:rPr>
            </w:pPr>
          </w:p>
        </w:tc>
        <w:tc>
          <w:tcPr>
            <w:tcW w:w="6180"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减少“白色污染”的方法</w:t>
            </w:r>
          </w:p>
        </w:tc>
      </w:tr>
    </w:tbl>
    <w:p>
      <w:pPr>
        <w:widowControl/>
        <w:shd w:val="clear" w:color="auto" w:fill="FFFFFF"/>
        <w:tabs>
          <w:tab w:val="left" w:pos="990"/>
        </w:tabs>
        <w:spacing w:line="600" w:lineRule="atLeast"/>
        <w:rPr>
          <w:rFonts w:ascii="仿宋_GB2312" w:hAnsi="仿宋_GB2312" w:eastAsia="仿宋_GB2312" w:cs="仿宋_GB2312"/>
          <w:color w:val="000000"/>
          <w:kern w:val="0"/>
          <w:sz w:val="32"/>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Lucida Sans Unicode">
    <w:panose1 w:val="020B0602030504020204"/>
    <w:charset w:val="00"/>
    <w:family w:val="auto"/>
    <w:pitch w:val="default"/>
    <w:sig w:usb0="80001AFF" w:usb1="0000396B" w:usb2="00000000" w:usb3="00000000" w:csb0="0000003F" w:csb1="D7F70000"/>
  </w:font>
  <w:font w:name="仿宋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altName w:val="宋体"/>
    <w:panose1 w:val="02010609060101010101"/>
    <w:charset w:val="86"/>
    <w:family w:val="modern"/>
    <w:pitch w:val="default"/>
    <w:sig w:usb0="00000000" w:usb1="00000000"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5D127A"/>
    <w:rsid w:val="055D1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Hyperlink"/>
    <w:basedOn w:val="3"/>
    <w:semiHidden/>
    <w:unhideWhenUsed/>
    <w:qFormat/>
    <w:uiPriority w:val="99"/>
    <w:rPr>
      <w:color w:val="3D95D5"/>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2020-06-30T01:46:00Z</dcterms:created>
  <dc:creator>余生只会浪</dc:creator>
  <cp:lastModifiedBy>余生只会浪</cp:lastModifiedBy>
  <dcterms:modified xsi:type="dcterms:W3CDTF">2020-06-30T01:50:27Z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